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7" w:rsidRPr="00CE2ED2" w:rsidRDefault="00E678CF" w:rsidP="00352317">
      <w:pPr>
        <w:pStyle w:val="a3"/>
        <w:spacing w:line="300" w:lineRule="auto"/>
        <w:rPr>
          <w:b w:val="0"/>
          <w:bCs/>
          <w:sz w:val="32"/>
          <w:szCs w:val="32"/>
        </w:rPr>
      </w:pPr>
      <w:r w:rsidRPr="00CE2ED2">
        <w:rPr>
          <w:b w:val="0"/>
          <w:bCs/>
          <w:sz w:val="32"/>
          <w:szCs w:val="32"/>
        </w:rPr>
        <w:t>Graduation</w:t>
      </w:r>
      <w:bookmarkStart w:id="0" w:name="_GoBack"/>
      <w:bookmarkEnd w:id="0"/>
    </w:p>
    <w:p w:rsidR="00D318D7" w:rsidRPr="009C72BF" w:rsidRDefault="00D37047" w:rsidP="00C71A97">
      <w:pPr>
        <w:spacing w:line="360" w:lineRule="auto"/>
        <w:jc w:val="right"/>
        <w:rPr>
          <w:rFonts w:eastAsia="標楷體"/>
        </w:rPr>
      </w:pPr>
      <w:r w:rsidRPr="009C72BF">
        <w:rPr>
          <w:rFonts w:eastAsia="標楷體"/>
        </w:rPr>
        <w:t xml:space="preserve">Assignment </w:t>
      </w:r>
      <w:r w:rsidR="00B14499" w:rsidRPr="009C72BF">
        <w:rPr>
          <w:rFonts w:eastAsia="標楷體" w:hint="eastAsia"/>
        </w:rPr>
        <w:t>4</w:t>
      </w:r>
      <w:r w:rsidRPr="009C72BF">
        <w:rPr>
          <w:rFonts w:eastAsia="標楷體"/>
        </w:rPr>
        <w:t xml:space="preserve">, </w:t>
      </w:r>
      <w:r w:rsidR="004351E9" w:rsidRPr="009C72BF">
        <w:rPr>
          <w:rFonts w:eastAsia="標楷體" w:hint="eastAsia"/>
        </w:rPr>
        <w:t>2019/12/1</w:t>
      </w:r>
      <w:r w:rsidR="000A2EAB">
        <w:rPr>
          <w:rFonts w:eastAsia="標楷體" w:hint="eastAsia"/>
        </w:rPr>
        <w:t>1</w:t>
      </w:r>
      <w:r w:rsidR="00B14499" w:rsidRPr="009C72BF">
        <w:rPr>
          <w:rFonts w:eastAsia="標楷體" w:hint="eastAsia"/>
        </w:rPr>
        <w:t>繳交</w:t>
      </w:r>
      <w:r w:rsidR="005C13D3" w:rsidRPr="009C72BF">
        <w:rPr>
          <w:rFonts w:eastAsia="標楷體" w:hint="eastAsia"/>
        </w:rPr>
        <w:t xml:space="preserve">   </w:t>
      </w:r>
      <w:r w:rsidR="00B26E5E" w:rsidRPr="009C72BF">
        <w:rPr>
          <w:rFonts w:eastAsia="標楷體" w:hint="eastAsia"/>
        </w:rPr>
        <w:tab/>
      </w:r>
      <w:r w:rsidR="00B26E5E" w:rsidRPr="009C72BF">
        <w:rPr>
          <w:rFonts w:eastAsia="標楷體" w:hint="eastAsia"/>
        </w:rPr>
        <w:tab/>
      </w:r>
      <w:r w:rsidR="00B26E5E" w:rsidRPr="009C72BF">
        <w:rPr>
          <w:rFonts w:eastAsia="標楷體"/>
        </w:rPr>
        <w:tab/>
      </w:r>
      <w:r w:rsidR="00E678CF" w:rsidRPr="009C72BF">
        <w:rPr>
          <w:rFonts w:eastAsia="標楷體"/>
        </w:rPr>
        <w:t>Fall</w:t>
      </w:r>
      <w:r w:rsidR="001B366F" w:rsidRPr="009C72BF">
        <w:rPr>
          <w:rFonts w:eastAsia="標楷體"/>
        </w:rPr>
        <w:t xml:space="preserve"> 201</w:t>
      </w:r>
      <w:r w:rsidR="00941CB8" w:rsidRPr="009C72BF">
        <w:rPr>
          <w:rFonts w:eastAsia="標楷體" w:hint="eastAsia"/>
        </w:rPr>
        <w:t>9</w:t>
      </w:r>
    </w:p>
    <w:p w:rsidR="004351E9" w:rsidRDefault="004351E9" w:rsidP="004351E9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 xml:space="preserve"> Lee-Carter</w:t>
      </w:r>
      <w:r>
        <w:rPr>
          <w:rFonts w:eastAsia="標楷體" w:hint="eastAsia"/>
        </w:rPr>
        <w:t>模型是常見的隨機死亡模型，</w:t>
      </w:r>
      <w:r w:rsidR="00861FFB">
        <w:rPr>
          <w:rFonts w:eastAsia="標楷體" w:hint="eastAsia"/>
        </w:rPr>
        <w:t>各國的</w:t>
      </w:r>
      <w:r>
        <w:rPr>
          <w:rFonts w:eastAsia="標楷體" w:hint="eastAsia"/>
        </w:rPr>
        <w:t>公共政策規劃、商業保險費率等大多會考量這個方法。</w:t>
      </w:r>
      <w:r w:rsidRPr="004349B9">
        <w:rPr>
          <w:rFonts w:eastAsia="標楷體" w:hint="eastAsia"/>
        </w:rPr>
        <w:t>請以</w:t>
      </w:r>
      <w:r>
        <w:rPr>
          <w:rFonts w:eastAsia="標楷體" w:hint="eastAsia"/>
        </w:rPr>
        <w:t>臺灣地區五</w:t>
      </w:r>
      <w:proofErr w:type="gramStart"/>
      <w:r>
        <w:rPr>
          <w:rFonts w:eastAsia="標楷體" w:hint="eastAsia"/>
        </w:rPr>
        <w:t>齡組死亡</w:t>
      </w:r>
      <w:proofErr w:type="gramEnd"/>
      <w:r>
        <w:rPr>
          <w:rFonts w:eastAsia="標楷體" w:hint="eastAsia"/>
        </w:rPr>
        <w:t>資料為依據，探討：</w:t>
      </w:r>
    </w:p>
    <w:p w:rsidR="004351E9" w:rsidRDefault="004351E9" w:rsidP="004351E9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199</w:t>
      </w:r>
      <w:r w:rsidR="00861FFB">
        <w:rPr>
          <w:rFonts w:eastAsia="標楷體" w:hint="eastAsia"/>
        </w:rPr>
        <w:t>5</w:t>
      </w:r>
      <w:r>
        <w:rPr>
          <w:rFonts w:eastAsia="標楷體" w:hint="eastAsia"/>
        </w:rPr>
        <w:t>-201</w:t>
      </w:r>
      <w:r w:rsidR="00861FFB">
        <w:rPr>
          <w:rFonts w:eastAsia="標楷體" w:hint="eastAsia"/>
        </w:rPr>
        <w:t>0</w:t>
      </w:r>
      <w:r>
        <w:rPr>
          <w:rFonts w:eastAsia="標楷體" w:hint="eastAsia"/>
        </w:rPr>
        <w:t>年的</w:t>
      </w:r>
      <w:r w:rsidRPr="004349B9">
        <w:rPr>
          <w:rFonts w:eastAsia="標楷體" w:hint="eastAsia"/>
        </w:rPr>
        <w:t xml:space="preserve">0-4, 5-9, </w:t>
      </w:r>
      <w:r w:rsidRPr="004349B9">
        <w:rPr>
          <w:rFonts w:eastAsia="標楷體"/>
        </w:rPr>
        <w:t>…</w:t>
      </w:r>
      <w:r w:rsidR="00861FFB">
        <w:rPr>
          <w:rFonts w:eastAsia="標楷體" w:hint="eastAsia"/>
        </w:rPr>
        <w:t>, 90</w:t>
      </w:r>
      <w:r>
        <w:rPr>
          <w:rFonts w:eastAsia="標楷體" w:hint="eastAsia"/>
        </w:rPr>
        <w:t>-</w:t>
      </w:r>
      <w:r w:rsidR="00861FFB">
        <w:rPr>
          <w:rFonts w:eastAsia="標楷體" w:hint="eastAsia"/>
        </w:rPr>
        <w:t>94</w:t>
      </w:r>
      <w:r>
        <w:rPr>
          <w:rFonts w:eastAsia="標楷體" w:hint="eastAsia"/>
        </w:rPr>
        <w:t>歲各年齡死亡率的變化趨勢</w:t>
      </w:r>
      <w:proofErr w:type="gramStart"/>
      <w:r>
        <w:rPr>
          <w:rFonts w:eastAsia="標楷體" w:hint="eastAsia"/>
        </w:rPr>
        <w:t>（註</w:t>
      </w:r>
      <w:proofErr w:type="gramEnd"/>
      <w:r>
        <w:rPr>
          <w:rFonts w:eastAsia="標楷體" w:hint="eastAsia"/>
        </w:rPr>
        <w:t>：亦即計算每年的死亡率變化率</w:t>
      </w:r>
      <w:r w:rsidRPr="0016684C">
        <w:rPr>
          <w:rFonts w:eastAsia="標楷體"/>
          <w:position w:val="-12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pt;height:18.25pt" o:ole="">
            <v:imagedata r:id="rId8" o:title=""/>
          </v:shape>
          <o:OLEObject Type="Embed" ProgID="Equation.DSMT4" ShapeID="_x0000_i1025" DrawAspect="Content" ObjectID="_1636961847" r:id="rId9"/>
        </w:objec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</w:t>
      </w:r>
      <w:r w:rsidR="00861FFB">
        <w:rPr>
          <w:rFonts w:eastAsia="標楷體" w:hint="eastAsia"/>
        </w:rPr>
        <w:t>比較</w:t>
      </w:r>
      <w:r>
        <w:rPr>
          <w:rFonts w:eastAsia="標楷體" w:hint="eastAsia"/>
        </w:rPr>
        <w:t>SVD</w:t>
      </w:r>
      <w:r w:rsidR="00861FFB">
        <w:rPr>
          <w:rFonts w:eastAsia="標楷體" w:hint="eastAsia"/>
        </w:rPr>
        <w:t>及</w:t>
      </w:r>
      <w:r>
        <w:rPr>
          <w:rFonts w:eastAsia="標楷體" w:hint="eastAsia"/>
        </w:rPr>
        <w:t>近似法</w:t>
      </w:r>
      <w:r w:rsidR="00861FFB">
        <w:rPr>
          <w:rFonts w:eastAsia="標楷體" w:hint="eastAsia"/>
        </w:rPr>
        <w:t>的</w:t>
      </w:r>
      <w:r w:rsidR="00B22B9C">
        <w:rPr>
          <w:rFonts w:eastAsia="標楷體" w:hint="eastAsia"/>
        </w:rPr>
        <w:t>參數估計值之</w:t>
      </w:r>
      <w:r w:rsidR="00861FFB">
        <w:rPr>
          <w:rFonts w:eastAsia="標楷體" w:hint="eastAsia"/>
        </w:rPr>
        <w:t>差異</w:t>
      </w:r>
      <w:r>
        <w:rPr>
          <w:rFonts w:eastAsia="標楷體" w:hint="eastAsia"/>
        </w:rPr>
        <w:t>。</w:t>
      </w:r>
    </w:p>
    <w:p w:rsidR="002E4154" w:rsidRDefault="00CB1AB9" w:rsidP="009A0F07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根據</w:t>
      </w:r>
      <w:r w:rsidR="00147A00">
        <w:rPr>
          <w:rFonts w:eastAsia="標楷體" w:hint="eastAsia"/>
        </w:rPr>
        <w:t>(a)</w:t>
      </w:r>
      <w:proofErr w:type="gramStart"/>
      <w:r>
        <w:rPr>
          <w:rFonts w:eastAsia="標楷體" w:hint="eastAsia"/>
        </w:rPr>
        <w:t>小題</w:t>
      </w:r>
      <w:r w:rsidR="00B22B9C">
        <w:rPr>
          <w:rFonts w:eastAsia="標楷體" w:hint="eastAsia"/>
        </w:rPr>
        <w:t>估計</w:t>
      </w:r>
      <w:proofErr w:type="gramEnd"/>
      <w:r w:rsidR="00F770A0">
        <w:rPr>
          <w:rFonts w:eastAsia="標楷體" w:hint="eastAsia"/>
        </w:rPr>
        <w:t>結果</w:t>
      </w:r>
      <w:r>
        <w:rPr>
          <w:rFonts w:eastAsia="標楷體" w:hint="eastAsia"/>
        </w:rPr>
        <w:t>預測</w:t>
      </w:r>
      <w:r>
        <w:rPr>
          <w:rFonts w:eastAsia="標楷體" w:hint="eastAsia"/>
        </w:rPr>
        <w:t>2011-2018</w:t>
      </w:r>
      <w:r>
        <w:rPr>
          <w:rFonts w:eastAsia="標楷體" w:hint="eastAsia"/>
        </w:rPr>
        <w:t>年的死亡率，</w:t>
      </w:r>
      <w:r w:rsidR="00B22B9C">
        <w:rPr>
          <w:rFonts w:eastAsia="標楷體" w:hint="eastAsia"/>
        </w:rPr>
        <w:t>計算</w:t>
      </w:r>
      <w:r w:rsidR="009A0F07">
        <w:rPr>
          <w:rFonts w:eastAsia="標楷體" w:hint="eastAsia"/>
        </w:rPr>
        <w:t>整體與</w:t>
      </w:r>
      <w:r w:rsidR="009A0F07" w:rsidRPr="009A0F07">
        <w:rPr>
          <w:rFonts w:eastAsia="標楷體" w:hint="eastAsia"/>
        </w:rPr>
        <w:t>各年齡</w:t>
      </w:r>
      <w:r w:rsidR="009A0F07">
        <w:rPr>
          <w:rFonts w:eastAsia="標楷體" w:hint="eastAsia"/>
        </w:rPr>
        <w:t>的預測誤差（</w:t>
      </w:r>
      <w:r w:rsidR="009A0F07">
        <w:rPr>
          <w:rFonts w:eastAsia="標楷體" w:hint="eastAsia"/>
        </w:rPr>
        <w:t>MAPE, m</w:t>
      </w:r>
      <w:r w:rsidR="009A0F07" w:rsidRPr="009A0F07">
        <w:rPr>
          <w:rFonts w:eastAsia="標楷體"/>
        </w:rPr>
        <w:t>ean absolute percentage error</w:t>
      </w:r>
      <w:r w:rsidR="009A0F07">
        <w:rPr>
          <w:rFonts w:eastAsia="標楷體" w:hint="eastAsia"/>
        </w:rPr>
        <w:t>），說明各組的發現。</w:t>
      </w:r>
    </w:p>
    <w:p w:rsidR="004D3751" w:rsidRDefault="004351E9" w:rsidP="004D3751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r w:rsidRPr="004351E9">
        <w:rPr>
          <w:rFonts w:eastAsia="標楷體" w:hint="eastAsia"/>
        </w:rPr>
        <w:t>Lee-Carter</w:t>
      </w:r>
      <w:r w:rsidRPr="004351E9">
        <w:rPr>
          <w:rFonts w:eastAsia="標楷體" w:hint="eastAsia"/>
        </w:rPr>
        <w:t>模型的</w:t>
      </w:r>
      <w:r w:rsidRPr="004351E9">
        <w:rPr>
          <w:rFonts w:eastAsia="標楷體" w:hint="eastAsia"/>
        </w:rPr>
        <w:t>SVD</w:t>
      </w:r>
      <w:r w:rsidRPr="004351E9">
        <w:rPr>
          <w:rFonts w:eastAsia="標楷體" w:hint="eastAsia"/>
        </w:rPr>
        <w:t>估計法各年齡死亡率在不同時期變化趨勢，例如：</w:t>
      </w:r>
      <w:r w:rsidRPr="004351E9">
        <w:rPr>
          <w:rFonts w:eastAsia="標楷體" w:hint="eastAsia"/>
        </w:rPr>
        <w:t>199</w:t>
      </w:r>
      <w:r w:rsidR="009A0F07">
        <w:rPr>
          <w:rFonts w:eastAsia="標楷體" w:hint="eastAsia"/>
        </w:rPr>
        <w:t>5</w:t>
      </w:r>
      <w:r w:rsidRPr="004351E9">
        <w:rPr>
          <w:rFonts w:eastAsia="標楷體" w:hint="eastAsia"/>
        </w:rPr>
        <w:t>-</w:t>
      </w:r>
      <w:r w:rsidR="009A0F07">
        <w:rPr>
          <w:rFonts w:eastAsia="標楷體" w:hint="eastAsia"/>
        </w:rPr>
        <w:t>2002</w:t>
      </w:r>
      <w:r w:rsidRPr="004351E9">
        <w:rPr>
          <w:rFonts w:eastAsia="標楷體" w:hint="eastAsia"/>
        </w:rPr>
        <w:t>年、</w:t>
      </w:r>
      <w:r w:rsidRPr="004351E9">
        <w:rPr>
          <w:rFonts w:eastAsia="標楷體" w:hint="eastAsia"/>
        </w:rPr>
        <w:t>200</w:t>
      </w:r>
      <w:r w:rsidR="009A0F07">
        <w:rPr>
          <w:rFonts w:eastAsia="標楷體" w:hint="eastAsia"/>
        </w:rPr>
        <w:t>3</w:t>
      </w:r>
      <w:r w:rsidRPr="004351E9">
        <w:rPr>
          <w:rFonts w:eastAsia="標楷體" w:hint="eastAsia"/>
        </w:rPr>
        <w:t>-20</w:t>
      </w:r>
      <w:r w:rsidR="009A0F07">
        <w:rPr>
          <w:rFonts w:eastAsia="標楷體" w:hint="eastAsia"/>
        </w:rPr>
        <w:t>10</w:t>
      </w:r>
      <w:r w:rsidRPr="004351E9">
        <w:rPr>
          <w:rFonts w:eastAsia="標楷體" w:hint="eastAsia"/>
        </w:rPr>
        <w:t>年、</w:t>
      </w:r>
      <w:r w:rsidRPr="004351E9">
        <w:rPr>
          <w:rFonts w:eastAsia="標楷體" w:hint="eastAsia"/>
        </w:rPr>
        <w:t>20</w:t>
      </w:r>
      <w:r w:rsidR="009A0F07">
        <w:rPr>
          <w:rFonts w:eastAsia="標楷體" w:hint="eastAsia"/>
        </w:rPr>
        <w:t>11</w:t>
      </w:r>
      <w:r w:rsidRPr="004351E9">
        <w:rPr>
          <w:rFonts w:eastAsia="標楷體" w:hint="eastAsia"/>
        </w:rPr>
        <w:t>-201</w:t>
      </w:r>
      <w:r w:rsidR="009A0F07">
        <w:rPr>
          <w:rFonts w:eastAsia="標楷體" w:hint="eastAsia"/>
        </w:rPr>
        <w:t>8</w:t>
      </w:r>
      <w:r w:rsidRPr="004351E9">
        <w:rPr>
          <w:rFonts w:eastAsia="標楷體" w:hint="eastAsia"/>
        </w:rPr>
        <w:t>年。</w:t>
      </w:r>
    </w:p>
    <w:p w:rsidR="00147A00" w:rsidRDefault="00147A00" w:rsidP="00F770A0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重複</w:t>
      </w:r>
      <w:r w:rsidR="00F770A0">
        <w:rPr>
          <w:rFonts w:eastAsia="標楷體" w:hint="eastAsia"/>
        </w:rPr>
        <w:t>(c</w:t>
      </w:r>
      <w:r>
        <w:rPr>
          <w:rFonts w:eastAsia="標楷體" w:hint="eastAsia"/>
        </w:rPr>
        <w:t>)</w:t>
      </w:r>
      <w:proofErr w:type="gramStart"/>
      <w:r>
        <w:rPr>
          <w:rFonts w:eastAsia="標楷體" w:hint="eastAsia"/>
        </w:rPr>
        <w:t>小題的</w:t>
      </w:r>
      <w:proofErr w:type="gramEnd"/>
      <w:r>
        <w:rPr>
          <w:rFonts w:eastAsia="標楷體" w:hint="eastAsia"/>
        </w:rPr>
        <w:t>參數估計，</w:t>
      </w:r>
      <w:r w:rsidR="00F770A0">
        <w:rPr>
          <w:rFonts w:eastAsia="標楷體" w:hint="eastAsia"/>
        </w:rPr>
        <w:t>但</w:t>
      </w:r>
      <w:r w:rsidR="00F770A0" w:rsidRPr="00F770A0">
        <w:rPr>
          <w:rFonts w:eastAsia="標楷體" w:hint="eastAsia"/>
        </w:rPr>
        <w:t>研究區域換成「</w:t>
      </w:r>
      <w:r w:rsidR="00F770A0" w:rsidRPr="00F770A0">
        <w:rPr>
          <w:rFonts w:eastAsia="標楷體" w:hint="eastAsia"/>
        </w:rPr>
        <w:t>01</w:t>
      </w:r>
      <w:r w:rsidR="00F770A0" w:rsidRPr="00F770A0">
        <w:rPr>
          <w:rFonts w:eastAsia="標楷體" w:hint="eastAsia"/>
        </w:rPr>
        <w:t>：宜蘭縣」、「</w:t>
      </w:r>
      <w:r w:rsidR="00F770A0" w:rsidRPr="00F770A0">
        <w:rPr>
          <w:rFonts w:eastAsia="標楷體" w:hint="eastAsia"/>
        </w:rPr>
        <w:t>02</w:t>
      </w:r>
      <w:r w:rsidR="00F770A0" w:rsidRPr="00F770A0">
        <w:rPr>
          <w:rFonts w:eastAsia="標楷體" w:hint="eastAsia"/>
        </w:rPr>
        <w:t>：南投縣」、「</w:t>
      </w:r>
      <w:r w:rsidR="00F770A0" w:rsidRPr="00F770A0">
        <w:rPr>
          <w:rFonts w:eastAsia="標楷體" w:hint="eastAsia"/>
        </w:rPr>
        <w:t>03</w:t>
      </w:r>
      <w:r w:rsidR="00F770A0" w:rsidRPr="00F770A0">
        <w:rPr>
          <w:rFonts w:eastAsia="標楷體" w:hint="eastAsia"/>
        </w:rPr>
        <w:t>：雲林縣」</w:t>
      </w:r>
      <w:r w:rsidR="00F770A0">
        <w:rPr>
          <w:rFonts w:eastAsia="標楷體" w:hint="eastAsia"/>
        </w:rPr>
        <w:t>。</w:t>
      </w:r>
      <w:proofErr w:type="gramStart"/>
      <w:r w:rsidR="00F770A0">
        <w:rPr>
          <w:rFonts w:eastAsia="標楷體" w:hint="eastAsia"/>
        </w:rPr>
        <w:t>（註</w:t>
      </w:r>
      <w:proofErr w:type="gramEnd"/>
      <w:r w:rsidR="00F770A0">
        <w:rPr>
          <w:rFonts w:eastAsia="標楷體" w:hint="eastAsia"/>
        </w:rPr>
        <w:t>：本題將於上課時抽籤決定。）</w:t>
      </w:r>
      <w:r w:rsidR="00F770A0">
        <w:rPr>
          <w:rFonts w:eastAsia="標楷體" w:hint="eastAsia"/>
        </w:rPr>
        <w:t xml:space="preserve"> </w:t>
      </w:r>
    </w:p>
    <w:p w:rsidR="004D3751" w:rsidRPr="004D3751" w:rsidRDefault="004D3751" w:rsidP="004D3751">
      <w:pPr>
        <w:pStyle w:val="a9"/>
        <w:autoSpaceDE w:val="0"/>
        <w:autoSpaceDN w:val="0"/>
        <w:adjustRightInd w:val="0"/>
        <w:spacing w:line="300" w:lineRule="auto"/>
        <w:ind w:leftChars="0" w:left="668"/>
        <w:jc w:val="both"/>
        <w:rPr>
          <w:rFonts w:eastAsia="標楷體"/>
        </w:rPr>
      </w:pPr>
    </w:p>
    <w:p w:rsidR="007A24C6" w:rsidRPr="007A24C6" w:rsidRDefault="004D3751" w:rsidP="007A24C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/>
          <w:kern w:val="0"/>
        </w:rPr>
      </w:pPr>
      <w:r w:rsidRPr="007A24C6">
        <w:rPr>
          <w:rFonts w:eastAsia="標楷體" w:hint="eastAsia"/>
          <w:kern w:val="0"/>
        </w:rPr>
        <w:t>因為人數、資料筆數、資料品質等因素，</w:t>
      </w:r>
      <w:r w:rsidR="005828C6" w:rsidRPr="007A24C6">
        <w:rPr>
          <w:rFonts w:eastAsia="標楷體" w:hint="eastAsia"/>
          <w:kern w:val="0"/>
        </w:rPr>
        <w:t>生命表的高齡死亡率時</w:t>
      </w:r>
      <w:r w:rsidR="00161F6C" w:rsidRPr="007A24C6">
        <w:rPr>
          <w:rFonts w:eastAsia="標楷體" w:hint="eastAsia"/>
          <w:kern w:val="0"/>
        </w:rPr>
        <w:t>通常</w:t>
      </w:r>
      <w:r w:rsidR="005828C6" w:rsidRPr="007A24C6">
        <w:rPr>
          <w:rFonts w:eastAsia="標楷體" w:hint="eastAsia"/>
          <w:kern w:val="0"/>
        </w:rPr>
        <w:t>不會直接根據</w:t>
      </w:r>
      <w:proofErr w:type="spellStart"/>
      <w:r w:rsidR="007A24C6" w:rsidRPr="007A24C6">
        <w:rPr>
          <w:rFonts w:eastAsia="標楷體" w:hint="eastAsia"/>
          <w:kern w:val="0"/>
        </w:rPr>
        <w:t>Greville</w:t>
      </w:r>
      <w:proofErr w:type="spellEnd"/>
      <w:r w:rsidR="007A24C6" w:rsidRPr="007A24C6">
        <w:rPr>
          <w:rFonts w:eastAsia="標楷體" w:hint="eastAsia"/>
          <w:kern w:val="0"/>
        </w:rPr>
        <w:t>及</w:t>
      </w:r>
      <w:r w:rsidR="007A24C6" w:rsidRPr="007A24C6">
        <w:rPr>
          <w:rFonts w:eastAsia="標楷體" w:hint="eastAsia"/>
          <w:kern w:val="0"/>
        </w:rPr>
        <w:t>Whittaker</w:t>
      </w:r>
      <w:proofErr w:type="gramStart"/>
      <w:r w:rsidR="007A24C6" w:rsidRPr="007A24C6">
        <w:rPr>
          <w:rFonts w:eastAsia="標楷體" w:hint="eastAsia"/>
          <w:kern w:val="0"/>
        </w:rPr>
        <w:t>等修勻方法</w:t>
      </w:r>
      <w:proofErr w:type="gramEnd"/>
      <w:r w:rsidR="005828C6" w:rsidRPr="007A24C6">
        <w:rPr>
          <w:rFonts w:eastAsia="標楷體" w:hint="eastAsia"/>
          <w:kern w:val="0"/>
        </w:rPr>
        <w:t>，</w:t>
      </w:r>
      <w:r w:rsidR="007A24C6">
        <w:rPr>
          <w:rFonts w:eastAsia="標楷體" w:hint="eastAsia"/>
          <w:kern w:val="0"/>
        </w:rPr>
        <w:t>而是</w:t>
      </w:r>
      <w:r w:rsidR="005828C6" w:rsidRPr="007A24C6">
        <w:rPr>
          <w:rFonts w:eastAsia="標楷體" w:hint="eastAsia"/>
          <w:kern w:val="0"/>
        </w:rPr>
        <w:t>採用高齡死亡模型。</w:t>
      </w:r>
      <w:r w:rsidR="007A24C6" w:rsidRPr="007A24C6">
        <w:rPr>
          <w:rFonts w:eastAsia="標楷體" w:hint="eastAsia"/>
          <w:kern w:val="0"/>
        </w:rPr>
        <w:t>Gompertz</w:t>
      </w:r>
      <w:r w:rsidR="00BB0001">
        <w:rPr>
          <w:rFonts w:eastAsia="標楷體" w:hint="eastAsia"/>
          <w:kern w:val="0"/>
        </w:rPr>
        <w:t>模型是</w:t>
      </w:r>
      <w:r w:rsidR="007A24C6" w:rsidRPr="007A24C6">
        <w:rPr>
          <w:rFonts w:eastAsia="標楷體" w:hint="eastAsia"/>
          <w:kern w:val="0"/>
        </w:rPr>
        <w:t>常見的</w:t>
      </w:r>
      <w:r w:rsidR="00BB0001">
        <w:rPr>
          <w:rFonts w:eastAsia="標楷體" w:hint="eastAsia"/>
          <w:kern w:val="0"/>
        </w:rPr>
        <w:t>高齡死亡</w:t>
      </w:r>
      <w:r w:rsidR="007A24C6" w:rsidRPr="007A24C6">
        <w:rPr>
          <w:rFonts w:eastAsia="標楷體" w:hint="eastAsia"/>
          <w:kern w:val="0"/>
        </w:rPr>
        <w:t>假設之一</w:t>
      </w:r>
      <w:r w:rsidR="00BB0001">
        <w:rPr>
          <w:rFonts w:eastAsia="標楷體" w:hint="eastAsia"/>
          <w:kern w:val="0"/>
        </w:rPr>
        <w:t>，</w:t>
      </w:r>
      <w:r w:rsidR="007A24C6" w:rsidRPr="007A24C6">
        <w:rPr>
          <w:rFonts w:eastAsia="標楷體" w:hint="eastAsia"/>
          <w:kern w:val="0"/>
        </w:rPr>
        <w:t>請以臺灣近五年（</w:t>
      </w:r>
      <w:r w:rsidR="007A24C6">
        <w:rPr>
          <w:rFonts w:eastAsia="標楷體" w:hint="eastAsia"/>
          <w:kern w:val="0"/>
        </w:rPr>
        <w:t>2014</w:t>
      </w:r>
      <w:r w:rsidR="007A24C6" w:rsidRPr="007A24C6">
        <w:rPr>
          <w:rFonts w:eastAsia="標楷體" w:hint="eastAsia"/>
          <w:kern w:val="0"/>
        </w:rPr>
        <w:t>-201</w:t>
      </w:r>
      <w:r w:rsidR="007A24C6">
        <w:rPr>
          <w:rFonts w:eastAsia="標楷體" w:hint="eastAsia"/>
          <w:kern w:val="0"/>
        </w:rPr>
        <w:t>8</w:t>
      </w:r>
      <w:r w:rsidR="007A24C6" w:rsidRPr="007A24C6">
        <w:rPr>
          <w:rFonts w:eastAsia="標楷體" w:hint="eastAsia"/>
          <w:kern w:val="0"/>
        </w:rPr>
        <w:t>年）</w:t>
      </w:r>
      <w:r w:rsidR="00BB0001">
        <w:rPr>
          <w:rFonts w:eastAsia="標楷體" w:hint="eastAsia"/>
          <w:kern w:val="0"/>
        </w:rPr>
        <w:t>的</w:t>
      </w:r>
      <w:r w:rsidR="007A24C6" w:rsidRPr="007A24C6">
        <w:rPr>
          <w:rFonts w:eastAsia="標楷體" w:hint="eastAsia"/>
          <w:kern w:val="0"/>
        </w:rPr>
        <w:t>人口資料測試本方法與資料年齡、估計方法的關聯。</w:t>
      </w:r>
    </w:p>
    <w:p w:rsidR="007A24C6" w:rsidRPr="007A24C6" w:rsidRDefault="007A24C6" w:rsidP="007A24C6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  <w:kern w:val="0"/>
        </w:rPr>
      </w:pPr>
      <w:r w:rsidRPr="007A24C6">
        <w:rPr>
          <w:rFonts w:eastAsia="標楷體" w:hint="eastAsia"/>
          <w:kern w:val="0"/>
        </w:rPr>
        <w:t>以</w:t>
      </w:r>
      <w:r w:rsidRPr="007A24C6">
        <w:rPr>
          <w:rFonts w:eastAsia="標楷體" w:hint="eastAsia"/>
          <w:kern w:val="0"/>
        </w:rPr>
        <w:t>MLE</w:t>
      </w:r>
      <w:r w:rsidRPr="007A24C6">
        <w:rPr>
          <w:rFonts w:eastAsia="標楷體" w:hint="eastAsia"/>
          <w:kern w:val="0"/>
        </w:rPr>
        <w:t>、</w:t>
      </w:r>
      <w:r w:rsidRPr="007A24C6">
        <w:rPr>
          <w:rFonts w:eastAsia="標楷體" w:hint="eastAsia"/>
          <w:kern w:val="0"/>
        </w:rPr>
        <w:t>NM</w:t>
      </w:r>
      <w:r w:rsidRPr="007A24C6">
        <w:rPr>
          <w:rFonts w:eastAsia="標楷體" w:hint="eastAsia"/>
          <w:kern w:val="0"/>
        </w:rPr>
        <w:t>、</w:t>
      </w:r>
      <w:r w:rsidRPr="007A24C6">
        <w:rPr>
          <w:rFonts w:eastAsia="標楷體" w:hint="eastAsia"/>
          <w:kern w:val="0"/>
        </w:rPr>
        <w:t>WLS</w:t>
      </w:r>
      <w:r w:rsidRPr="007A24C6">
        <w:rPr>
          <w:rFonts w:eastAsia="標楷體" w:hint="eastAsia"/>
          <w:kern w:val="0"/>
        </w:rPr>
        <w:t>三種方法，套入</w:t>
      </w:r>
      <w:r w:rsidRPr="007A24C6">
        <w:rPr>
          <w:rFonts w:eastAsia="標楷體" w:hint="eastAsia"/>
          <w:kern w:val="0"/>
        </w:rPr>
        <w:t>201</w:t>
      </w:r>
      <w:r w:rsidR="00293F1D">
        <w:rPr>
          <w:rFonts w:eastAsia="標楷體" w:hint="eastAsia"/>
          <w:kern w:val="0"/>
        </w:rPr>
        <w:t>4-2018</w:t>
      </w:r>
      <w:r w:rsidRPr="007A24C6">
        <w:rPr>
          <w:rFonts w:eastAsia="標楷體" w:hint="eastAsia"/>
          <w:kern w:val="0"/>
        </w:rPr>
        <w:t>年</w:t>
      </w:r>
      <w:r w:rsidRPr="007A24C6">
        <w:rPr>
          <w:rFonts w:eastAsia="標楷體" w:hint="eastAsia"/>
          <w:kern w:val="0"/>
        </w:rPr>
        <w:t>50-99</w:t>
      </w:r>
      <w:r w:rsidRPr="007A24C6">
        <w:rPr>
          <w:rFonts w:eastAsia="標楷體" w:hint="eastAsia"/>
          <w:kern w:val="0"/>
        </w:rPr>
        <w:t>歲（五齡組）死亡資料，比較不同方法的</w:t>
      </w:r>
      <w:r w:rsidR="00473C37">
        <w:rPr>
          <w:rFonts w:eastAsia="標楷體" w:hint="eastAsia"/>
          <w:kern w:val="0"/>
        </w:rPr>
        <w:t>估計</w:t>
      </w:r>
      <w:r w:rsidRPr="007A24C6">
        <w:rPr>
          <w:rFonts w:eastAsia="標楷體" w:hint="eastAsia"/>
          <w:kern w:val="0"/>
        </w:rPr>
        <w:t>差異。</w:t>
      </w:r>
    </w:p>
    <w:p w:rsidR="007A24C6" w:rsidRPr="007A24C6" w:rsidRDefault="007A24C6" w:rsidP="007A24C6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  <w:kern w:val="0"/>
        </w:rPr>
      </w:pPr>
      <w:r w:rsidRPr="007A24C6">
        <w:rPr>
          <w:rFonts w:eastAsia="標楷體" w:hint="eastAsia"/>
          <w:kern w:val="0"/>
        </w:rPr>
        <w:t>以</w:t>
      </w:r>
      <w:r w:rsidRPr="007A24C6">
        <w:rPr>
          <w:rFonts w:eastAsia="標楷體" w:hint="eastAsia"/>
          <w:kern w:val="0"/>
        </w:rPr>
        <w:t>WLS</w:t>
      </w:r>
      <w:r w:rsidRPr="007A24C6">
        <w:rPr>
          <w:rFonts w:eastAsia="標楷體" w:hint="eastAsia"/>
          <w:kern w:val="0"/>
        </w:rPr>
        <w:t>估計方法（或其他兩種估計方法），考量</w:t>
      </w:r>
      <w:r w:rsidRPr="007A24C6">
        <w:rPr>
          <w:rFonts w:eastAsia="標楷體" w:hint="eastAsia"/>
          <w:kern w:val="0"/>
        </w:rPr>
        <w:t>2012-2016</w:t>
      </w:r>
      <w:r w:rsidRPr="007A24C6">
        <w:rPr>
          <w:rFonts w:eastAsia="標楷體" w:hint="eastAsia"/>
          <w:kern w:val="0"/>
        </w:rPr>
        <w:t>年五</w:t>
      </w:r>
      <w:proofErr w:type="gramStart"/>
      <w:r w:rsidRPr="007A24C6">
        <w:rPr>
          <w:rFonts w:eastAsia="標楷體" w:hint="eastAsia"/>
          <w:kern w:val="0"/>
        </w:rPr>
        <w:t>齡組死亡</w:t>
      </w:r>
      <w:proofErr w:type="gramEnd"/>
      <w:r w:rsidRPr="007A24C6">
        <w:rPr>
          <w:rFonts w:eastAsia="標楷體" w:hint="eastAsia"/>
          <w:kern w:val="0"/>
        </w:rPr>
        <w:t>資料，但代入不同年齡範圍，如</w:t>
      </w:r>
      <w:r w:rsidR="00473C37">
        <w:rPr>
          <w:rFonts w:eastAsia="標楷體" w:hint="eastAsia"/>
          <w:kern w:val="0"/>
        </w:rPr>
        <w:t>5</w:t>
      </w:r>
      <w:r w:rsidRPr="007A24C6">
        <w:rPr>
          <w:rFonts w:eastAsia="標楷體" w:hint="eastAsia"/>
          <w:kern w:val="0"/>
        </w:rPr>
        <w:t>0-99</w:t>
      </w:r>
      <w:r w:rsidRPr="007A24C6">
        <w:rPr>
          <w:rFonts w:eastAsia="標楷體" w:hint="eastAsia"/>
          <w:kern w:val="0"/>
        </w:rPr>
        <w:t>歲、</w:t>
      </w:r>
      <w:r w:rsidRPr="007A24C6">
        <w:rPr>
          <w:rFonts w:eastAsia="標楷體" w:hint="eastAsia"/>
          <w:kern w:val="0"/>
        </w:rPr>
        <w:t>5</w:t>
      </w:r>
      <w:r w:rsidR="00473C37">
        <w:rPr>
          <w:rFonts w:eastAsia="標楷體" w:hint="eastAsia"/>
          <w:kern w:val="0"/>
        </w:rPr>
        <w:t>5</w:t>
      </w:r>
      <w:r w:rsidRPr="007A24C6">
        <w:rPr>
          <w:rFonts w:eastAsia="標楷體" w:hint="eastAsia"/>
          <w:kern w:val="0"/>
        </w:rPr>
        <w:t>-99</w:t>
      </w:r>
      <w:r w:rsidRPr="007A24C6">
        <w:rPr>
          <w:rFonts w:eastAsia="標楷體" w:hint="eastAsia"/>
          <w:kern w:val="0"/>
        </w:rPr>
        <w:t>歲、</w:t>
      </w:r>
      <w:r w:rsidRPr="007A24C6">
        <w:rPr>
          <w:rFonts w:eastAsia="標楷體" w:hint="eastAsia"/>
          <w:kern w:val="0"/>
        </w:rPr>
        <w:t>60-99</w:t>
      </w:r>
      <w:r w:rsidRPr="007A24C6">
        <w:rPr>
          <w:rFonts w:eastAsia="標楷體" w:hint="eastAsia"/>
          <w:kern w:val="0"/>
        </w:rPr>
        <w:t>歲</w:t>
      </w:r>
      <w:r w:rsidR="00473C37">
        <w:rPr>
          <w:rFonts w:eastAsia="標楷體" w:hint="eastAsia"/>
          <w:kern w:val="0"/>
        </w:rPr>
        <w:t>、</w:t>
      </w:r>
      <w:r w:rsidR="00473C37">
        <w:rPr>
          <w:rFonts w:eastAsia="標楷體" w:hint="eastAsia"/>
          <w:kern w:val="0"/>
        </w:rPr>
        <w:t>65-99</w:t>
      </w:r>
      <w:r w:rsidR="00473C37">
        <w:rPr>
          <w:rFonts w:eastAsia="標楷體" w:hint="eastAsia"/>
          <w:kern w:val="0"/>
        </w:rPr>
        <w:t>歲</w:t>
      </w:r>
      <w:r w:rsidRPr="007A24C6">
        <w:rPr>
          <w:rFonts w:eastAsia="標楷體" w:hint="eastAsia"/>
          <w:kern w:val="0"/>
        </w:rPr>
        <w:t>。</w:t>
      </w:r>
    </w:p>
    <w:p w:rsidR="00A24E60" w:rsidRPr="007A24C6" w:rsidRDefault="007A24C6" w:rsidP="007A24C6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  <w:kern w:val="0"/>
        </w:rPr>
      </w:pPr>
      <w:r w:rsidRPr="007A24C6">
        <w:rPr>
          <w:rFonts w:eastAsia="標楷體" w:hint="eastAsia"/>
          <w:kern w:val="0"/>
        </w:rPr>
        <w:t>根據前兩項的研究結果，提出</w:t>
      </w:r>
      <w:r w:rsidR="00C14FE5">
        <w:rPr>
          <w:rFonts w:eastAsia="標楷體" w:hint="eastAsia"/>
          <w:kern w:val="0"/>
        </w:rPr>
        <w:t>各組</w:t>
      </w:r>
      <w:r w:rsidRPr="007A24C6">
        <w:rPr>
          <w:rFonts w:eastAsia="標楷體" w:hint="eastAsia"/>
          <w:kern w:val="0"/>
        </w:rPr>
        <w:t>對</w:t>
      </w:r>
      <w:r w:rsidRPr="007A24C6">
        <w:rPr>
          <w:rFonts w:eastAsia="標楷體" w:hint="eastAsia"/>
          <w:kern w:val="0"/>
        </w:rPr>
        <w:t>Gompertz</w:t>
      </w:r>
      <w:r w:rsidRPr="007A24C6">
        <w:rPr>
          <w:rFonts w:eastAsia="標楷體" w:hint="eastAsia"/>
          <w:kern w:val="0"/>
        </w:rPr>
        <w:t>法則的使用建議。</w:t>
      </w:r>
    </w:p>
    <w:p w:rsidR="00D318D7" w:rsidRPr="00C14FE5" w:rsidRDefault="00D318D7" w:rsidP="00FB0D8F">
      <w:pPr>
        <w:widowControl/>
        <w:autoSpaceDE w:val="0"/>
        <w:autoSpaceDN w:val="0"/>
        <w:adjustRightInd w:val="0"/>
        <w:spacing w:line="300" w:lineRule="auto"/>
        <w:jc w:val="both"/>
        <w:rPr>
          <w:rFonts w:eastAsia="標楷體"/>
        </w:rPr>
      </w:pPr>
    </w:p>
    <w:p w:rsidR="00473C37" w:rsidRPr="009C72BF" w:rsidRDefault="00FB12A5" w:rsidP="00C14FE5">
      <w:pPr>
        <w:pStyle w:val="a9"/>
        <w:widowControl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/>
          <w:sz w:val="26"/>
          <w:szCs w:val="26"/>
        </w:rPr>
      </w:pPr>
      <w:r w:rsidRPr="009C72BF">
        <w:rPr>
          <w:rFonts w:eastAsia="標楷體" w:hint="eastAsia"/>
        </w:rPr>
        <w:t>請以官方公布的（簡易</w:t>
      </w:r>
      <w:r w:rsidRPr="009C72BF">
        <w:rPr>
          <w:rFonts w:eastAsia="標楷體" w:hint="eastAsia"/>
        </w:rPr>
        <w:t>/</w:t>
      </w:r>
      <w:r w:rsidRPr="009C72BF">
        <w:rPr>
          <w:rFonts w:eastAsia="標楷體" w:hint="eastAsia"/>
        </w:rPr>
        <w:t>國民）生命表為參考，</w:t>
      </w:r>
      <w:proofErr w:type="gramStart"/>
      <w:r w:rsidRPr="009C72BF">
        <w:rPr>
          <w:rFonts w:eastAsia="標楷體" w:hint="eastAsia"/>
        </w:rPr>
        <w:t>編算</w:t>
      </w:r>
      <w:proofErr w:type="gramEnd"/>
      <w:r w:rsidRPr="009C72BF">
        <w:rPr>
          <w:rFonts w:eastAsia="標楷體" w:hint="eastAsia"/>
        </w:rPr>
        <w:t>201</w:t>
      </w:r>
      <w:r w:rsidR="00F770A0" w:rsidRPr="009C72BF">
        <w:rPr>
          <w:rFonts w:eastAsia="標楷體" w:hint="eastAsia"/>
        </w:rPr>
        <w:t>4</w:t>
      </w:r>
      <w:r w:rsidRPr="009C72BF">
        <w:rPr>
          <w:rFonts w:eastAsia="標楷體" w:hint="eastAsia"/>
        </w:rPr>
        <w:t>-16</w:t>
      </w:r>
      <w:r w:rsidRPr="009C72BF">
        <w:rPr>
          <w:rFonts w:eastAsia="標楷體" w:hint="eastAsia"/>
        </w:rPr>
        <w:t>年臺灣地區國民生命表，</w:t>
      </w:r>
      <w:r w:rsidR="00BB0001" w:rsidRPr="009C72BF">
        <w:rPr>
          <w:rFonts w:eastAsia="標楷體" w:hint="eastAsia"/>
        </w:rPr>
        <w:t>各組的</w:t>
      </w:r>
      <w:r w:rsidR="00C14FE5" w:rsidRPr="009C72BF">
        <w:rPr>
          <w:rFonts w:eastAsia="標楷體" w:hint="eastAsia"/>
        </w:rPr>
        <w:t>研究區域</w:t>
      </w:r>
      <w:r w:rsidR="00BB0001" w:rsidRPr="009C72BF">
        <w:rPr>
          <w:rFonts w:eastAsia="標楷體" w:hint="eastAsia"/>
        </w:rPr>
        <w:t>為</w:t>
      </w:r>
      <w:r w:rsidR="00C14FE5" w:rsidRPr="009C72BF">
        <w:rPr>
          <w:rFonts w:eastAsia="標楷體" w:hint="eastAsia"/>
        </w:rPr>
        <w:t>「</w:t>
      </w:r>
      <w:r w:rsidR="00C14FE5" w:rsidRPr="009C72BF">
        <w:rPr>
          <w:rFonts w:eastAsia="標楷體" w:hint="eastAsia"/>
        </w:rPr>
        <w:t>01</w:t>
      </w:r>
      <w:r w:rsidR="00C14FE5" w:rsidRPr="009C72BF">
        <w:rPr>
          <w:rFonts w:eastAsia="標楷體" w:hint="eastAsia"/>
        </w:rPr>
        <w:t>：宜蘭縣」、「</w:t>
      </w:r>
      <w:r w:rsidR="00C14FE5" w:rsidRPr="009C72BF">
        <w:rPr>
          <w:rFonts w:eastAsia="標楷體" w:hint="eastAsia"/>
        </w:rPr>
        <w:t>02</w:t>
      </w:r>
      <w:r w:rsidR="00C14FE5" w:rsidRPr="009C72BF">
        <w:rPr>
          <w:rFonts w:eastAsia="標楷體" w:hint="eastAsia"/>
        </w:rPr>
        <w:t>：南投縣」、「</w:t>
      </w:r>
      <w:r w:rsidR="00C14FE5" w:rsidRPr="009C72BF">
        <w:rPr>
          <w:rFonts w:eastAsia="標楷體" w:hint="eastAsia"/>
        </w:rPr>
        <w:t>03</w:t>
      </w:r>
      <w:r w:rsidR="00C14FE5" w:rsidRPr="009C72BF">
        <w:rPr>
          <w:rFonts w:eastAsia="標楷體" w:hint="eastAsia"/>
        </w:rPr>
        <w:t>：雲林縣」</w:t>
      </w:r>
      <w:r w:rsidR="00BB0001" w:rsidRPr="009C72BF">
        <w:rPr>
          <w:rFonts w:eastAsia="標楷體" w:hint="eastAsia"/>
        </w:rPr>
        <w:t>。</w:t>
      </w:r>
      <w:r w:rsidR="009C72BF">
        <w:rPr>
          <w:rFonts w:eastAsia="標楷體" w:hint="eastAsia"/>
        </w:rPr>
        <w:t>本題需考量高齡銜接、平均</w:t>
      </w:r>
      <w:proofErr w:type="gramStart"/>
      <w:r w:rsidR="009C72BF">
        <w:rPr>
          <w:rFonts w:eastAsia="標楷體" w:hint="eastAsia"/>
        </w:rPr>
        <w:t>餘命等</w:t>
      </w:r>
      <w:proofErr w:type="gramEnd"/>
      <w:r w:rsidR="009C72BF">
        <w:rPr>
          <w:rFonts w:eastAsia="標楷體" w:hint="eastAsia"/>
        </w:rPr>
        <w:t>因素，同時與官方結果（如</w:t>
      </w:r>
      <w:r w:rsidR="009C72BF">
        <w:rPr>
          <w:rFonts w:eastAsia="標楷體" w:hint="eastAsia"/>
        </w:rPr>
        <w:t>2015</w:t>
      </w:r>
      <w:r w:rsidR="009C72BF">
        <w:rPr>
          <w:rFonts w:eastAsia="標楷體" w:hint="eastAsia"/>
        </w:rPr>
        <w:t>年簡易生命表）比較。</w:t>
      </w:r>
    </w:p>
    <w:p w:rsidR="00473C37" w:rsidRPr="009C72BF" w:rsidRDefault="00473C37" w:rsidP="00FB0D8F">
      <w:pPr>
        <w:widowControl/>
        <w:autoSpaceDE w:val="0"/>
        <w:autoSpaceDN w:val="0"/>
        <w:adjustRightInd w:val="0"/>
        <w:spacing w:line="300" w:lineRule="auto"/>
        <w:jc w:val="both"/>
        <w:rPr>
          <w:rFonts w:eastAsia="標楷體"/>
          <w:sz w:val="26"/>
          <w:szCs w:val="26"/>
        </w:rPr>
      </w:pPr>
    </w:p>
    <w:p w:rsidR="0097046A" w:rsidRPr="0097046A" w:rsidRDefault="0097046A" w:rsidP="00FB0D8F">
      <w:pPr>
        <w:widowControl/>
        <w:autoSpaceDE w:val="0"/>
        <w:autoSpaceDN w:val="0"/>
        <w:adjustRightInd w:val="0"/>
        <w:spacing w:line="300" w:lineRule="auto"/>
        <w:jc w:val="both"/>
        <w:rPr>
          <w:rFonts w:eastAsia="標楷體"/>
          <w:sz w:val="26"/>
          <w:szCs w:val="26"/>
        </w:rPr>
      </w:pPr>
      <w:proofErr w:type="gramStart"/>
      <w:r w:rsidRPr="0097046A">
        <w:rPr>
          <w:rFonts w:eastAsia="標楷體" w:hint="eastAsia"/>
          <w:sz w:val="26"/>
          <w:szCs w:val="26"/>
        </w:rPr>
        <w:t>註</w:t>
      </w:r>
      <w:proofErr w:type="gramEnd"/>
      <w:r w:rsidRPr="0097046A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本次作業分成三組，</w:t>
      </w:r>
      <w:r w:rsidR="00B26E5E">
        <w:rPr>
          <w:rFonts w:eastAsia="標楷體" w:hint="eastAsia"/>
          <w:sz w:val="26"/>
          <w:szCs w:val="26"/>
        </w:rPr>
        <w:t>在課堂上隨機抽籤決定組別以及題目。</w:t>
      </w:r>
    </w:p>
    <w:sectPr w:rsidR="0097046A" w:rsidRPr="0097046A" w:rsidSect="00E31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7A" w:rsidRDefault="0052307A" w:rsidP="00E678CF">
      <w:r>
        <w:separator/>
      </w:r>
    </w:p>
  </w:endnote>
  <w:endnote w:type="continuationSeparator" w:id="0">
    <w:p w:rsidR="0052307A" w:rsidRDefault="0052307A" w:rsidP="00E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7A" w:rsidRDefault="0052307A" w:rsidP="00E678CF">
      <w:r>
        <w:separator/>
      </w:r>
    </w:p>
  </w:footnote>
  <w:footnote w:type="continuationSeparator" w:id="0">
    <w:p w:rsidR="0052307A" w:rsidRDefault="0052307A" w:rsidP="00E6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E6"/>
    <w:multiLevelType w:val="hybridMultilevel"/>
    <w:tmpl w:val="2C7858B8"/>
    <w:lvl w:ilvl="0" w:tplc="7EDA05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2273C5"/>
    <w:multiLevelType w:val="hybridMultilevel"/>
    <w:tmpl w:val="4798E1F2"/>
    <w:lvl w:ilvl="0" w:tplc="EB2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E1AF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380398"/>
    <w:multiLevelType w:val="hybridMultilevel"/>
    <w:tmpl w:val="A0FEC536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148F6C08"/>
    <w:multiLevelType w:val="hybridMultilevel"/>
    <w:tmpl w:val="09F4208C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FE5854"/>
    <w:multiLevelType w:val="hybridMultilevel"/>
    <w:tmpl w:val="B4944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FD4074"/>
    <w:multiLevelType w:val="hybridMultilevel"/>
    <w:tmpl w:val="15B05F44"/>
    <w:lvl w:ilvl="0" w:tplc="86003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C4CF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520228"/>
    <w:multiLevelType w:val="hybridMultilevel"/>
    <w:tmpl w:val="DF569E4C"/>
    <w:lvl w:ilvl="0" w:tplc="84867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0C6B13"/>
    <w:multiLevelType w:val="hybridMultilevel"/>
    <w:tmpl w:val="9DA0745E"/>
    <w:lvl w:ilvl="0" w:tplc="7F6CD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878349A"/>
    <w:multiLevelType w:val="hybridMultilevel"/>
    <w:tmpl w:val="3A7ADE46"/>
    <w:lvl w:ilvl="0" w:tplc="B76E98FA">
      <w:start w:val="1"/>
      <w:numFmt w:val="lowerLetter"/>
      <w:lvlText w:val="(%1)"/>
      <w:lvlJc w:val="left"/>
      <w:pPr>
        <w:ind w:left="6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A"/>
    <w:rsid w:val="000130C4"/>
    <w:rsid w:val="00037451"/>
    <w:rsid w:val="0004371E"/>
    <w:rsid w:val="00046F9D"/>
    <w:rsid w:val="00066BAA"/>
    <w:rsid w:val="00075656"/>
    <w:rsid w:val="0009570B"/>
    <w:rsid w:val="000A2EAB"/>
    <w:rsid w:val="000D103A"/>
    <w:rsid w:val="000D4600"/>
    <w:rsid w:val="000D5631"/>
    <w:rsid w:val="000E05F9"/>
    <w:rsid w:val="0011073A"/>
    <w:rsid w:val="001138A8"/>
    <w:rsid w:val="00123CFD"/>
    <w:rsid w:val="0014770D"/>
    <w:rsid w:val="00147A00"/>
    <w:rsid w:val="00156562"/>
    <w:rsid w:val="00161F6C"/>
    <w:rsid w:val="00192823"/>
    <w:rsid w:val="00194A07"/>
    <w:rsid w:val="001A0389"/>
    <w:rsid w:val="001B2AC2"/>
    <w:rsid w:val="001B366F"/>
    <w:rsid w:val="001C1165"/>
    <w:rsid w:val="001D437D"/>
    <w:rsid w:val="001E6E3E"/>
    <w:rsid w:val="001F2A96"/>
    <w:rsid w:val="00217DD4"/>
    <w:rsid w:val="002233A3"/>
    <w:rsid w:val="00240F96"/>
    <w:rsid w:val="00253785"/>
    <w:rsid w:val="002704FF"/>
    <w:rsid w:val="00277518"/>
    <w:rsid w:val="00293F1D"/>
    <w:rsid w:val="002951BB"/>
    <w:rsid w:val="002E4154"/>
    <w:rsid w:val="002F4D5E"/>
    <w:rsid w:val="0030091D"/>
    <w:rsid w:val="00307B89"/>
    <w:rsid w:val="0032233D"/>
    <w:rsid w:val="00323279"/>
    <w:rsid w:val="00326C63"/>
    <w:rsid w:val="00352317"/>
    <w:rsid w:val="003562C1"/>
    <w:rsid w:val="00365C1E"/>
    <w:rsid w:val="00366F3E"/>
    <w:rsid w:val="00374846"/>
    <w:rsid w:val="00396E16"/>
    <w:rsid w:val="003B64A2"/>
    <w:rsid w:val="003C3200"/>
    <w:rsid w:val="003D4185"/>
    <w:rsid w:val="003E2549"/>
    <w:rsid w:val="00403363"/>
    <w:rsid w:val="004036D4"/>
    <w:rsid w:val="004351E9"/>
    <w:rsid w:val="0045027A"/>
    <w:rsid w:val="00452014"/>
    <w:rsid w:val="004546A6"/>
    <w:rsid w:val="00470DBB"/>
    <w:rsid w:val="004736EB"/>
    <w:rsid w:val="00473C37"/>
    <w:rsid w:val="00483031"/>
    <w:rsid w:val="004D3751"/>
    <w:rsid w:val="004D7108"/>
    <w:rsid w:val="0050039C"/>
    <w:rsid w:val="0052307A"/>
    <w:rsid w:val="00541481"/>
    <w:rsid w:val="00556CD0"/>
    <w:rsid w:val="00561673"/>
    <w:rsid w:val="0056193B"/>
    <w:rsid w:val="005828C6"/>
    <w:rsid w:val="00585C0A"/>
    <w:rsid w:val="005A3B14"/>
    <w:rsid w:val="005B3A8E"/>
    <w:rsid w:val="005B5593"/>
    <w:rsid w:val="005C13D3"/>
    <w:rsid w:val="005C1CA4"/>
    <w:rsid w:val="005C2219"/>
    <w:rsid w:val="005D375D"/>
    <w:rsid w:val="005F2A72"/>
    <w:rsid w:val="005F6070"/>
    <w:rsid w:val="006070B1"/>
    <w:rsid w:val="00635F7F"/>
    <w:rsid w:val="006400F6"/>
    <w:rsid w:val="00647A12"/>
    <w:rsid w:val="0065182E"/>
    <w:rsid w:val="006728EC"/>
    <w:rsid w:val="00677DC4"/>
    <w:rsid w:val="006B4E24"/>
    <w:rsid w:val="006F036C"/>
    <w:rsid w:val="00705A40"/>
    <w:rsid w:val="00717C45"/>
    <w:rsid w:val="00726C71"/>
    <w:rsid w:val="00735A2C"/>
    <w:rsid w:val="007478DA"/>
    <w:rsid w:val="007562CE"/>
    <w:rsid w:val="00772C6F"/>
    <w:rsid w:val="00797988"/>
    <w:rsid w:val="00797F93"/>
    <w:rsid w:val="007A24C6"/>
    <w:rsid w:val="007B1DE3"/>
    <w:rsid w:val="007C261C"/>
    <w:rsid w:val="007C3B05"/>
    <w:rsid w:val="007C4C01"/>
    <w:rsid w:val="007D2A8F"/>
    <w:rsid w:val="007E72FC"/>
    <w:rsid w:val="007E7748"/>
    <w:rsid w:val="00801B05"/>
    <w:rsid w:val="00845CAC"/>
    <w:rsid w:val="008563C9"/>
    <w:rsid w:val="00861FFB"/>
    <w:rsid w:val="008633F5"/>
    <w:rsid w:val="00863735"/>
    <w:rsid w:val="008644C6"/>
    <w:rsid w:val="00870309"/>
    <w:rsid w:val="00880E80"/>
    <w:rsid w:val="008906D9"/>
    <w:rsid w:val="008A51C7"/>
    <w:rsid w:val="008C5C2B"/>
    <w:rsid w:val="008D10DA"/>
    <w:rsid w:val="008E4CB7"/>
    <w:rsid w:val="008F5079"/>
    <w:rsid w:val="00912074"/>
    <w:rsid w:val="00921E55"/>
    <w:rsid w:val="00941CB8"/>
    <w:rsid w:val="009459FD"/>
    <w:rsid w:val="009462A3"/>
    <w:rsid w:val="00954D19"/>
    <w:rsid w:val="0097046A"/>
    <w:rsid w:val="0097237C"/>
    <w:rsid w:val="009800FF"/>
    <w:rsid w:val="00983A37"/>
    <w:rsid w:val="00990FA9"/>
    <w:rsid w:val="00993B69"/>
    <w:rsid w:val="009A0F07"/>
    <w:rsid w:val="009A5045"/>
    <w:rsid w:val="009C72BF"/>
    <w:rsid w:val="009E00EE"/>
    <w:rsid w:val="009F1875"/>
    <w:rsid w:val="009F5BC3"/>
    <w:rsid w:val="00A025DF"/>
    <w:rsid w:val="00A24E60"/>
    <w:rsid w:val="00A3255F"/>
    <w:rsid w:val="00A422E2"/>
    <w:rsid w:val="00A520F6"/>
    <w:rsid w:val="00A521B7"/>
    <w:rsid w:val="00A52C6C"/>
    <w:rsid w:val="00A62A0D"/>
    <w:rsid w:val="00A65A74"/>
    <w:rsid w:val="00A731A7"/>
    <w:rsid w:val="00A75EA0"/>
    <w:rsid w:val="00A8020E"/>
    <w:rsid w:val="00A87B27"/>
    <w:rsid w:val="00AA0F00"/>
    <w:rsid w:val="00AB4636"/>
    <w:rsid w:val="00AD2D48"/>
    <w:rsid w:val="00AD4067"/>
    <w:rsid w:val="00AE360B"/>
    <w:rsid w:val="00AE6E56"/>
    <w:rsid w:val="00AF1C62"/>
    <w:rsid w:val="00B0612E"/>
    <w:rsid w:val="00B11939"/>
    <w:rsid w:val="00B14499"/>
    <w:rsid w:val="00B20BC8"/>
    <w:rsid w:val="00B22B9C"/>
    <w:rsid w:val="00B25322"/>
    <w:rsid w:val="00B25B9A"/>
    <w:rsid w:val="00B26E5E"/>
    <w:rsid w:val="00B31EAD"/>
    <w:rsid w:val="00B45BD7"/>
    <w:rsid w:val="00B47595"/>
    <w:rsid w:val="00B47977"/>
    <w:rsid w:val="00B8154C"/>
    <w:rsid w:val="00B851C9"/>
    <w:rsid w:val="00BA6ACD"/>
    <w:rsid w:val="00BB0001"/>
    <w:rsid w:val="00BB37B8"/>
    <w:rsid w:val="00BC5255"/>
    <w:rsid w:val="00BF4868"/>
    <w:rsid w:val="00C01058"/>
    <w:rsid w:val="00C14C38"/>
    <w:rsid w:val="00C14FDE"/>
    <w:rsid w:val="00C14FE5"/>
    <w:rsid w:val="00C206C9"/>
    <w:rsid w:val="00C325D8"/>
    <w:rsid w:val="00C332DA"/>
    <w:rsid w:val="00C474BE"/>
    <w:rsid w:val="00C51085"/>
    <w:rsid w:val="00C56A5D"/>
    <w:rsid w:val="00C62735"/>
    <w:rsid w:val="00C66013"/>
    <w:rsid w:val="00C71A97"/>
    <w:rsid w:val="00C77DDD"/>
    <w:rsid w:val="00C950AA"/>
    <w:rsid w:val="00CA65B4"/>
    <w:rsid w:val="00CB1AB9"/>
    <w:rsid w:val="00CB7382"/>
    <w:rsid w:val="00CC482A"/>
    <w:rsid w:val="00CC60DE"/>
    <w:rsid w:val="00CE0443"/>
    <w:rsid w:val="00CE2ED2"/>
    <w:rsid w:val="00D00E36"/>
    <w:rsid w:val="00D123E1"/>
    <w:rsid w:val="00D27077"/>
    <w:rsid w:val="00D318D7"/>
    <w:rsid w:val="00D34FC5"/>
    <w:rsid w:val="00D37047"/>
    <w:rsid w:val="00D431CF"/>
    <w:rsid w:val="00D672D6"/>
    <w:rsid w:val="00DA0D11"/>
    <w:rsid w:val="00DA27E8"/>
    <w:rsid w:val="00DD580B"/>
    <w:rsid w:val="00DD5DBF"/>
    <w:rsid w:val="00E31BF0"/>
    <w:rsid w:val="00E62D22"/>
    <w:rsid w:val="00E678CF"/>
    <w:rsid w:val="00E80DE1"/>
    <w:rsid w:val="00E86DAE"/>
    <w:rsid w:val="00E931A7"/>
    <w:rsid w:val="00EC0A49"/>
    <w:rsid w:val="00EC2228"/>
    <w:rsid w:val="00EC55C9"/>
    <w:rsid w:val="00EF0A27"/>
    <w:rsid w:val="00EF3593"/>
    <w:rsid w:val="00F02553"/>
    <w:rsid w:val="00F14AF5"/>
    <w:rsid w:val="00F165F0"/>
    <w:rsid w:val="00F17139"/>
    <w:rsid w:val="00F2051A"/>
    <w:rsid w:val="00F23AF9"/>
    <w:rsid w:val="00F33DB5"/>
    <w:rsid w:val="00F37B27"/>
    <w:rsid w:val="00F53452"/>
    <w:rsid w:val="00F62F00"/>
    <w:rsid w:val="00F770A0"/>
    <w:rsid w:val="00F81F07"/>
    <w:rsid w:val="00F82A8A"/>
    <w:rsid w:val="00F85674"/>
    <w:rsid w:val="00F93ACF"/>
    <w:rsid w:val="00FB0D8F"/>
    <w:rsid w:val="00FB12A5"/>
    <w:rsid w:val="00FB5A3A"/>
    <w:rsid w:val="00FC3E9E"/>
    <w:rsid w:val="00FD3DA7"/>
    <w:rsid w:val="00FE2499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778</Characters>
  <Application>Microsoft Office Word</Application>
  <DocSecurity>0</DocSecurity>
  <Lines>6</Lines>
  <Paragraphs>1</Paragraphs>
  <ScaleCrop>false</ScaleCrop>
  <Company>NCCU</Company>
  <LinksUpToDate>false</LinksUpToDate>
  <CharactersWithSpaces>913</CharactersWithSpaces>
  <SharedDoc>false</SharedDoc>
  <HLinks>
    <vt:vector size="6" baseType="variant">
      <vt:variant>
        <vt:i4>5111887</vt:i4>
      </vt:variant>
      <vt:variant>
        <vt:i4>12</vt:i4>
      </vt:variant>
      <vt:variant>
        <vt:i4>0</vt:i4>
      </vt:variant>
      <vt:variant>
        <vt:i4>5</vt:i4>
      </vt:variant>
      <vt:variant>
        <vt:lpwstr>http://www.moi.org.tw/stat), 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user</cp:lastModifiedBy>
  <cp:revision>24</cp:revision>
  <dcterms:created xsi:type="dcterms:W3CDTF">2019-11-23T04:21:00Z</dcterms:created>
  <dcterms:modified xsi:type="dcterms:W3CDTF">2019-12-04T02:51:00Z</dcterms:modified>
</cp:coreProperties>
</file>