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D7" w:rsidRPr="00352317" w:rsidRDefault="00E678CF" w:rsidP="00352317">
      <w:pPr>
        <w:pStyle w:val="a3"/>
        <w:spacing w:line="300" w:lineRule="auto"/>
        <w:rPr>
          <w:b w:val="0"/>
          <w:bCs/>
          <w:sz w:val="28"/>
        </w:rPr>
      </w:pPr>
      <w:r w:rsidRPr="00352317">
        <w:rPr>
          <w:b w:val="0"/>
          <w:bCs/>
          <w:sz w:val="28"/>
        </w:rPr>
        <w:t>Graduation</w:t>
      </w:r>
    </w:p>
    <w:p w:rsidR="00D318D7" w:rsidRPr="00352317" w:rsidRDefault="00352317" w:rsidP="00352317">
      <w:pPr>
        <w:spacing w:line="300" w:lineRule="auto"/>
        <w:jc w:val="right"/>
        <w:rPr>
          <w:rFonts w:eastAsia="標楷體"/>
        </w:rPr>
      </w:pPr>
      <w:r w:rsidRPr="00352317">
        <w:rPr>
          <w:rFonts w:eastAsia="標楷體"/>
        </w:rPr>
        <w:t xml:space="preserve">Assignment 1, Due Oct. </w:t>
      </w:r>
      <w:r w:rsidR="00845CAC">
        <w:rPr>
          <w:rFonts w:eastAsia="標楷體" w:hint="eastAsia"/>
        </w:rPr>
        <w:t>24</w:t>
      </w:r>
      <w:r w:rsidRPr="00352317">
        <w:rPr>
          <w:rFonts w:eastAsia="標楷體"/>
        </w:rPr>
        <w:t>/201</w:t>
      </w:r>
      <w:r w:rsidR="00845CAC">
        <w:rPr>
          <w:rFonts w:eastAsia="標楷體" w:hint="eastAsia"/>
        </w:rPr>
        <w:t>7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proofErr w:type="gramStart"/>
      <w:r w:rsidR="00E678CF" w:rsidRPr="00352317">
        <w:rPr>
          <w:rFonts w:eastAsia="標楷體"/>
        </w:rPr>
        <w:t>Fall</w:t>
      </w:r>
      <w:proofErr w:type="gramEnd"/>
      <w:r w:rsidR="001B366F" w:rsidRPr="00352317">
        <w:rPr>
          <w:rFonts w:eastAsia="標楷體"/>
        </w:rPr>
        <w:t xml:space="preserve"> 201</w:t>
      </w:r>
      <w:r w:rsidR="00845CAC">
        <w:rPr>
          <w:rFonts w:eastAsia="標楷體" w:hint="eastAsia"/>
        </w:rPr>
        <w:t>7</w:t>
      </w:r>
    </w:p>
    <w:p w:rsidR="00D318D7" w:rsidRPr="00352317" w:rsidRDefault="00D318D7" w:rsidP="009462A3">
      <w:pPr>
        <w:snapToGrid w:val="0"/>
        <w:rPr>
          <w:rFonts w:eastAsia="標楷體"/>
        </w:rPr>
      </w:pPr>
    </w:p>
    <w:p w:rsidR="002233A3" w:rsidRDefault="00352317" w:rsidP="00217DD4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357" w:hanging="357"/>
        <w:jc w:val="both"/>
        <w:rPr>
          <w:rFonts w:eastAsia="標楷體"/>
          <w:kern w:val="0"/>
          <w:szCs w:val="20"/>
        </w:rPr>
      </w:pPr>
      <w:r>
        <w:rPr>
          <w:rFonts w:eastAsia="標楷體" w:hint="eastAsia"/>
          <w:kern w:val="0"/>
          <w:szCs w:val="20"/>
        </w:rPr>
        <w:t>(a</w:t>
      </w:r>
      <w:r>
        <w:rPr>
          <w:rFonts w:eastAsia="標楷體"/>
          <w:kern w:val="0"/>
          <w:szCs w:val="20"/>
        </w:rPr>
        <w:t>)</w:t>
      </w:r>
      <w:r w:rsidR="002233A3">
        <w:rPr>
          <w:rFonts w:eastAsia="標楷體"/>
          <w:kern w:val="0"/>
          <w:szCs w:val="20"/>
        </w:rPr>
        <w:t xml:space="preserve"> </w:t>
      </w:r>
      <w:r w:rsidR="00772C6F">
        <w:rPr>
          <w:rFonts w:eastAsia="標楷體"/>
          <w:kern w:val="0"/>
          <w:szCs w:val="20"/>
        </w:rPr>
        <w:t>臺灣壽險</w:t>
      </w:r>
      <w:r>
        <w:rPr>
          <w:rFonts w:eastAsia="標楷體"/>
          <w:kern w:val="0"/>
          <w:szCs w:val="20"/>
        </w:rPr>
        <w:t>商品有許多特色，</w:t>
      </w:r>
      <w:r w:rsidR="007B1DE3">
        <w:rPr>
          <w:rFonts w:eastAsia="標楷體"/>
          <w:kern w:val="0"/>
          <w:szCs w:val="20"/>
        </w:rPr>
        <w:t>包括多數商品都保證費率及</w:t>
      </w:r>
      <w:r>
        <w:rPr>
          <w:rFonts w:eastAsia="標楷體"/>
          <w:kern w:val="0"/>
          <w:szCs w:val="20"/>
        </w:rPr>
        <w:t>利率</w:t>
      </w:r>
      <w:r w:rsidR="00772C6F">
        <w:rPr>
          <w:rFonts w:eastAsia="標楷體"/>
          <w:kern w:val="0"/>
          <w:szCs w:val="20"/>
        </w:rPr>
        <w:t>，</w:t>
      </w:r>
      <w:r w:rsidR="007B1DE3">
        <w:rPr>
          <w:rFonts w:eastAsia="標楷體"/>
          <w:kern w:val="0"/>
          <w:szCs w:val="20"/>
        </w:rPr>
        <w:t>這些假設對</w:t>
      </w:r>
      <w:r w:rsidR="0097237C">
        <w:rPr>
          <w:rFonts w:eastAsia="標楷體"/>
          <w:kern w:val="0"/>
          <w:szCs w:val="20"/>
        </w:rPr>
        <w:t>短年期商品</w:t>
      </w:r>
      <w:r w:rsidR="007B1DE3">
        <w:rPr>
          <w:rFonts w:eastAsia="標楷體"/>
          <w:kern w:val="0"/>
          <w:szCs w:val="20"/>
        </w:rPr>
        <w:t>還算合理，</w:t>
      </w:r>
      <w:r w:rsidR="0097237C">
        <w:rPr>
          <w:rFonts w:eastAsia="標楷體"/>
          <w:kern w:val="0"/>
          <w:szCs w:val="20"/>
        </w:rPr>
        <w:t>但用於長年期及終身商品</w:t>
      </w:r>
      <w:r w:rsidR="007B1DE3">
        <w:rPr>
          <w:rFonts w:eastAsia="標楷體"/>
          <w:kern w:val="0"/>
          <w:szCs w:val="20"/>
        </w:rPr>
        <w:t>未必合適，其中潛藏</w:t>
      </w:r>
      <w:r w:rsidR="0097237C">
        <w:rPr>
          <w:rFonts w:eastAsia="標楷體"/>
          <w:kern w:val="0"/>
          <w:szCs w:val="20"/>
        </w:rPr>
        <w:t>不小的風險。請以臺灣</w:t>
      </w:r>
      <w:r w:rsidR="007B1DE3">
        <w:rPr>
          <w:rFonts w:eastAsia="標楷體"/>
          <w:kern w:val="0"/>
          <w:szCs w:val="20"/>
        </w:rPr>
        <w:t>歷年的</w:t>
      </w:r>
      <w:r w:rsidR="0097237C">
        <w:rPr>
          <w:rFonts w:eastAsia="標楷體"/>
          <w:kern w:val="0"/>
          <w:szCs w:val="20"/>
        </w:rPr>
        <w:t>經驗發生率</w:t>
      </w:r>
      <w:proofErr w:type="gramStart"/>
      <w:r w:rsidR="00A731A7">
        <w:rPr>
          <w:rFonts w:eastAsia="標楷體"/>
          <w:kern w:val="0"/>
          <w:szCs w:val="20"/>
        </w:rPr>
        <w:t>（</w:t>
      </w:r>
      <w:proofErr w:type="gramEnd"/>
      <w:r w:rsidR="00A731A7">
        <w:rPr>
          <w:rFonts w:eastAsia="標楷體"/>
          <w:kern w:val="0"/>
          <w:szCs w:val="20"/>
        </w:rPr>
        <w:t>如：經驗生命表</w:t>
      </w:r>
      <w:proofErr w:type="gramStart"/>
      <w:r w:rsidR="00A731A7">
        <w:rPr>
          <w:rFonts w:eastAsia="標楷體"/>
          <w:kern w:val="0"/>
          <w:szCs w:val="20"/>
        </w:rPr>
        <w:t>）</w:t>
      </w:r>
      <w:proofErr w:type="gramEnd"/>
      <w:r w:rsidR="0097237C">
        <w:rPr>
          <w:rFonts w:eastAsia="標楷體"/>
          <w:kern w:val="0"/>
          <w:szCs w:val="20"/>
        </w:rPr>
        <w:t>、</w:t>
      </w:r>
      <w:r w:rsidR="002233A3">
        <w:rPr>
          <w:rFonts w:eastAsia="標楷體"/>
          <w:kern w:val="0"/>
          <w:szCs w:val="20"/>
        </w:rPr>
        <w:t>實質</w:t>
      </w:r>
      <w:r w:rsidR="0097237C">
        <w:rPr>
          <w:rFonts w:eastAsia="標楷體"/>
          <w:kern w:val="0"/>
          <w:szCs w:val="20"/>
        </w:rPr>
        <w:t>利率</w:t>
      </w:r>
      <w:proofErr w:type="gramStart"/>
      <w:r w:rsidR="00A731A7">
        <w:rPr>
          <w:rFonts w:eastAsia="標楷體"/>
          <w:kern w:val="0"/>
          <w:szCs w:val="20"/>
        </w:rPr>
        <w:t>（</w:t>
      </w:r>
      <w:proofErr w:type="gramEnd"/>
      <w:r w:rsidR="00A731A7">
        <w:rPr>
          <w:rFonts w:eastAsia="標楷體"/>
          <w:kern w:val="0"/>
          <w:szCs w:val="20"/>
        </w:rPr>
        <w:t>如：兩年定存利率</w:t>
      </w:r>
      <w:proofErr w:type="gramStart"/>
      <w:r w:rsidR="00A731A7">
        <w:rPr>
          <w:rFonts w:eastAsia="標楷體"/>
          <w:kern w:val="0"/>
          <w:szCs w:val="20"/>
        </w:rPr>
        <w:t>）</w:t>
      </w:r>
      <w:proofErr w:type="gramEnd"/>
      <w:r w:rsidR="0097237C">
        <w:rPr>
          <w:rFonts w:eastAsia="標楷體"/>
          <w:kern w:val="0"/>
          <w:szCs w:val="20"/>
        </w:rPr>
        <w:t>為例，評估</w:t>
      </w:r>
      <w:r w:rsidR="002233A3">
        <w:rPr>
          <w:rFonts w:eastAsia="標楷體"/>
          <w:kern w:val="0"/>
          <w:szCs w:val="20"/>
        </w:rPr>
        <w:t>費率及利率的</w:t>
      </w:r>
      <w:r w:rsidR="002F4D5E">
        <w:rPr>
          <w:rFonts w:eastAsia="標楷體"/>
          <w:kern w:val="0"/>
          <w:szCs w:val="20"/>
        </w:rPr>
        <w:t>平均</w:t>
      </w:r>
      <w:r w:rsidR="002233A3">
        <w:rPr>
          <w:rFonts w:eastAsia="標楷體"/>
          <w:kern w:val="0"/>
          <w:szCs w:val="20"/>
        </w:rPr>
        <w:t>影響幅度</w:t>
      </w:r>
      <w:r w:rsidR="002F4D5E">
        <w:rPr>
          <w:rFonts w:eastAsia="標楷體"/>
          <w:kern w:val="0"/>
          <w:szCs w:val="20"/>
        </w:rPr>
        <w:t>，</w:t>
      </w:r>
      <w:r w:rsidR="001138A8">
        <w:rPr>
          <w:rFonts w:eastAsia="標楷體"/>
          <w:kern w:val="0"/>
          <w:szCs w:val="20"/>
        </w:rPr>
        <w:t>以及上限、</w:t>
      </w:r>
      <w:r w:rsidR="002F4D5E">
        <w:rPr>
          <w:rFonts w:eastAsia="標楷體"/>
          <w:kern w:val="0"/>
          <w:szCs w:val="20"/>
        </w:rPr>
        <w:t>下限</w:t>
      </w:r>
      <w:r w:rsidR="002233A3">
        <w:rPr>
          <w:rFonts w:eastAsia="標楷體"/>
          <w:kern w:val="0"/>
          <w:szCs w:val="20"/>
        </w:rPr>
        <w:t>。</w:t>
      </w:r>
      <w:proofErr w:type="gramStart"/>
      <w:r w:rsidR="002F4D5E">
        <w:rPr>
          <w:rFonts w:eastAsia="標楷體"/>
          <w:kern w:val="0"/>
          <w:szCs w:val="20"/>
        </w:rPr>
        <w:t>（註</w:t>
      </w:r>
      <w:proofErr w:type="gramEnd"/>
      <w:r w:rsidR="002F4D5E">
        <w:rPr>
          <w:rFonts w:eastAsia="標楷體"/>
          <w:kern w:val="0"/>
          <w:szCs w:val="20"/>
        </w:rPr>
        <w:t>：以幾類</w:t>
      </w:r>
      <w:r w:rsidR="007B1DE3">
        <w:rPr>
          <w:rFonts w:eastAsia="標楷體"/>
          <w:kern w:val="0"/>
          <w:szCs w:val="20"/>
        </w:rPr>
        <w:t>壽險與年金</w:t>
      </w:r>
      <w:r w:rsidR="002F4D5E">
        <w:rPr>
          <w:rFonts w:eastAsia="標楷體"/>
          <w:kern w:val="0"/>
          <w:szCs w:val="20"/>
        </w:rPr>
        <w:t>商品為例</w:t>
      </w:r>
      <w:r w:rsidR="001138A8">
        <w:rPr>
          <w:rFonts w:eastAsia="標楷體"/>
          <w:kern w:val="0"/>
          <w:szCs w:val="20"/>
        </w:rPr>
        <w:t>，</w:t>
      </w:r>
      <w:r w:rsidR="002F4D5E">
        <w:rPr>
          <w:rFonts w:eastAsia="標楷體"/>
          <w:kern w:val="0"/>
          <w:szCs w:val="20"/>
        </w:rPr>
        <w:t>計算</w:t>
      </w:r>
      <w:r w:rsidR="00C474BE">
        <w:rPr>
          <w:rFonts w:eastAsia="標楷體"/>
          <w:kern w:val="0"/>
          <w:szCs w:val="20"/>
        </w:rPr>
        <w:t>純保費因假設條件不同而產生的差異</w:t>
      </w:r>
      <w:r w:rsidR="002F4D5E">
        <w:rPr>
          <w:rFonts w:eastAsia="標楷體"/>
          <w:kern w:val="0"/>
          <w:szCs w:val="20"/>
        </w:rPr>
        <w:t>。）</w:t>
      </w:r>
    </w:p>
    <w:p w:rsidR="002233A3" w:rsidRDefault="002F4D5E" w:rsidP="002233A3">
      <w:pPr>
        <w:autoSpaceDE w:val="0"/>
        <w:autoSpaceDN w:val="0"/>
        <w:adjustRightInd w:val="0"/>
        <w:spacing w:line="300" w:lineRule="auto"/>
        <w:ind w:left="357"/>
        <w:jc w:val="both"/>
        <w:rPr>
          <w:rFonts w:eastAsia="標楷體"/>
          <w:kern w:val="0"/>
          <w:szCs w:val="20"/>
        </w:rPr>
      </w:pPr>
      <w:r>
        <w:rPr>
          <w:rFonts w:eastAsia="標楷體" w:hint="eastAsia"/>
          <w:kern w:val="0"/>
          <w:szCs w:val="20"/>
        </w:rPr>
        <w:t>(b</w:t>
      </w:r>
      <w:r>
        <w:rPr>
          <w:rFonts w:eastAsia="標楷體"/>
          <w:kern w:val="0"/>
          <w:szCs w:val="20"/>
        </w:rPr>
        <w:t xml:space="preserve">) </w:t>
      </w:r>
      <w:r>
        <w:rPr>
          <w:rFonts w:eastAsia="標楷體"/>
          <w:kern w:val="0"/>
          <w:szCs w:val="20"/>
        </w:rPr>
        <w:t>延續上述的討論，以壽險商品為例，例如：定期險、終身險、生死合險這三類型商品，評估死亡率、利率的影響幅度。</w:t>
      </w:r>
      <w:proofErr w:type="gramStart"/>
      <w:r>
        <w:rPr>
          <w:rFonts w:eastAsia="標楷體"/>
          <w:kern w:val="0"/>
          <w:szCs w:val="20"/>
        </w:rPr>
        <w:t>（註</w:t>
      </w:r>
      <w:proofErr w:type="gramEnd"/>
      <w:r>
        <w:rPr>
          <w:rFonts w:eastAsia="標楷體"/>
          <w:kern w:val="0"/>
          <w:szCs w:val="20"/>
        </w:rPr>
        <w:t>：如果死亡率、利率的變化幅度為</w:t>
      </w:r>
      <w:r>
        <w:rPr>
          <w:rFonts w:eastAsia="標楷體"/>
          <w:kern w:val="0"/>
          <w:szCs w:val="20"/>
        </w:rPr>
        <w:t>25%</w:t>
      </w:r>
      <w:r>
        <w:rPr>
          <w:rFonts w:eastAsia="標楷體"/>
          <w:kern w:val="0"/>
          <w:szCs w:val="20"/>
        </w:rPr>
        <w:t>、</w:t>
      </w:r>
      <w:r>
        <w:rPr>
          <w:rFonts w:eastAsia="標楷體"/>
          <w:kern w:val="0"/>
          <w:szCs w:val="20"/>
        </w:rPr>
        <w:t>50%</w:t>
      </w:r>
      <w:r>
        <w:rPr>
          <w:rFonts w:eastAsia="標楷體"/>
          <w:kern w:val="0"/>
          <w:szCs w:val="20"/>
        </w:rPr>
        <w:t>、</w:t>
      </w:r>
      <w:r>
        <w:rPr>
          <w:rFonts w:eastAsia="標楷體"/>
          <w:kern w:val="0"/>
          <w:szCs w:val="20"/>
        </w:rPr>
        <w:t>75%</w:t>
      </w:r>
      <w:r>
        <w:rPr>
          <w:rFonts w:eastAsia="標楷體"/>
          <w:kern w:val="0"/>
          <w:szCs w:val="20"/>
        </w:rPr>
        <w:t>等，商品的</w:t>
      </w:r>
      <w:proofErr w:type="gramStart"/>
      <w:r>
        <w:rPr>
          <w:rFonts w:eastAsia="標楷體"/>
          <w:kern w:val="0"/>
          <w:szCs w:val="20"/>
        </w:rPr>
        <w:t>精算現值</w:t>
      </w:r>
      <w:proofErr w:type="gramEnd"/>
      <w:r>
        <w:rPr>
          <w:rFonts w:eastAsia="標楷體"/>
          <w:kern w:val="0"/>
          <w:szCs w:val="20"/>
        </w:rPr>
        <w:t>會有多少變化。）</w:t>
      </w:r>
    </w:p>
    <w:p w:rsidR="00D318D7" w:rsidRPr="00677DC4" w:rsidRDefault="002233A3" w:rsidP="007C3B05">
      <w:pPr>
        <w:pStyle w:val="a9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Chars="0" w:left="839" w:hanging="482"/>
        <w:jc w:val="both"/>
        <w:rPr>
          <w:rFonts w:eastAsia="標楷體"/>
          <w:kern w:val="0"/>
          <w:szCs w:val="20"/>
        </w:rPr>
      </w:pPr>
      <w:proofErr w:type="gramStart"/>
      <w:r w:rsidRPr="00677DC4">
        <w:rPr>
          <w:rFonts w:eastAsia="標楷體"/>
          <w:kern w:val="0"/>
          <w:szCs w:val="20"/>
        </w:rPr>
        <w:t>加分題</w:t>
      </w:r>
      <w:proofErr w:type="gramEnd"/>
      <w:r w:rsidRPr="00677DC4">
        <w:rPr>
          <w:rFonts w:eastAsia="標楷體"/>
          <w:kern w:val="0"/>
          <w:szCs w:val="20"/>
        </w:rPr>
        <w:t>：</w:t>
      </w:r>
      <w:r w:rsidR="002F4D5E" w:rsidRPr="00677DC4">
        <w:rPr>
          <w:rFonts w:eastAsia="標楷體"/>
          <w:kern w:val="0"/>
          <w:szCs w:val="20"/>
        </w:rPr>
        <w:t>套用上述計算方式，評估</w:t>
      </w:r>
      <w:r w:rsidR="0097237C" w:rsidRPr="00677DC4">
        <w:rPr>
          <w:rFonts w:eastAsia="標楷體"/>
          <w:kern w:val="0"/>
          <w:szCs w:val="20"/>
        </w:rPr>
        <w:t>保險公司在年金險（或生存型商品）</w:t>
      </w:r>
      <w:r w:rsidRPr="00677DC4">
        <w:rPr>
          <w:rFonts w:eastAsia="標楷體"/>
          <w:kern w:val="0"/>
          <w:szCs w:val="20"/>
        </w:rPr>
        <w:t>、壽險等商品的潛在負債，並與官方已知的結果比對。</w:t>
      </w:r>
      <w:proofErr w:type="gramStart"/>
      <w:r w:rsidRPr="00677DC4">
        <w:rPr>
          <w:rFonts w:eastAsia="標楷體"/>
          <w:kern w:val="0"/>
          <w:szCs w:val="20"/>
        </w:rPr>
        <w:t>（註</w:t>
      </w:r>
      <w:proofErr w:type="gramEnd"/>
      <w:r w:rsidRPr="00677DC4">
        <w:rPr>
          <w:rFonts w:eastAsia="標楷體"/>
          <w:kern w:val="0"/>
          <w:szCs w:val="20"/>
        </w:rPr>
        <w:t>：保險局在</w:t>
      </w:r>
      <w:r w:rsidRPr="00677DC4">
        <w:rPr>
          <w:rFonts w:eastAsia="標楷體"/>
          <w:kern w:val="0"/>
          <w:szCs w:val="20"/>
        </w:rPr>
        <w:t>2015</w:t>
      </w:r>
      <w:r w:rsidRPr="00677DC4">
        <w:rPr>
          <w:rFonts w:eastAsia="標楷體"/>
          <w:kern w:val="0"/>
          <w:szCs w:val="20"/>
        </w:rPr>
        <w:t>年曾提及，每年臺灣壽險業的</w:t>
      </w:r>
      <w:proofErr w:type="gramStart"/>
      <w:r w:rsidRPr="00677DC4">
        <w:rPr>
          <w:rFonts w:eastAsia="標楷體"/>
          <w:kern w:val="0"/>
          <w:szCs w:val="20"/>
        </w:rPr>
        <w:t>利差損高達一</w:t>
      </w:r>
      <w:proofErr w:type="gramEnd"/>
      <w:r w:rsidRPr="00677DC4">
        <w:rPr>
          <w:rFonts w:eastAsia="標楷體"/>
          <w:kern w:val="0"/>
          <w:szCs w:val="20"/>
        </w:rPr>
        <w:t>千多億台幣。）</w:t>
      </w:r>
      <w:r w:rsidR="00156562" w:rsidRPr="00677DC4">
        <w:rPr>
          <w:rFonts w:eastAsia="標楷體"/>
          <w:kern w:val="0"/>
          <w:szCs w:val="20"/>
        </w:rPr>
        <w:t xml:space="preserve"> </w:t>
      </w:r>
      <w:r w:rsidR="002F4D5E" w:rsidRPr="00677DC4">
        <w:rPr>
          <w:rFonts w:eastAsia="標楷體"/>
          <w:kern w:val="0"/>
          <w:szCs w:val="20"/>
        </w:rPr>
        <w:br/>
      </w:r>
    </w:p>
    <w:p w:rsidR="00217DD4" w:rsidRDefault="002F4D5E" w:rsidP="002F4D5E">
      <w:pPr>
        <w:widowControl/>
        <w:numPr>
          <w:ilvl w:val="0"/>
          <w:numId w:val="5"/>
        </w:numPr>
        <w:spacing w:line="300" w:lineRule="auto"/>
        <w:jc w:val="both"/>
        <w:rPr>
          <w:rFonts w:eastAsia="標楷體"/>
          <w:spacing w:val="-2"/>
          <w:kern w:val="0"/>
        </w:rPr>
      </w:pPr>
      <w:r>
        <w:rPr>
          <w:rFonts w:eastAsia="標楷體" w:hint="eastAsia"/>
        </w:rPr>
        <w:t>(a</w:t>
      </w:r>
      <w:r>
        <w:rPr>
          <w:rFonts w:eastAsia="標楷體"/>
        </w:rPr>
        <w:t xml:space="preserve">) </w:t>
      </w:r>
      <w:r>
        <w:rPr>
          <w:rFonts w:eastAsia="標楷體"/>
        </w:rPr>
        <w:t>金融保險兩者</w:t>
      </w:r>
      <w:r>
        <w:rPr>
          <w:rFonts w:eastAsia="標楷體"/>
          <w:spacing w:val="-2"/>
          <w:kern w:val="0"/>
        </w:rPr>
        <w:t>經常被放在一起討論</w:t>
      </w:r>
      <w:r w:rsidR="00C474BE">
        <w:rPr>
          <w:rFonts w:eastAsia="標楷體"/>
          <w:spacing w:val="-2"/>
          <w:kern w:val="0"/>
        </w:rPr>
        <w:t>，</w:t>
      </w:r>
      <w:r w:rsidR="00A731A7">
        <w:rPr>
          <w:rFonts w:eastAsia="標楷體"/>
          <w:spacing w:val="-2"/>
          <w:kern w:val="0"/>
        </w:rPr>
        <w:t>說明這兩</w:t>
      </w:r>
      <w:proofErr w:type="gramStart"/>
      <w:r w:rsidR="00A731A7">
        <w:rPr>
          <w:rFonts w:eastAsia="標楷體"/>
          <w:spacing w:val="-2"/>
          <w:kern w:val="0"/>
        </w:rPr>
        <w:t>個</w:t>
      </w:r>
      <w:proofErr w:type="gramEnd"/>
      <w:r w:rsidR="00A731A7">
        <w:rPr>
          <w:rFonts w:eastAsia="標楷體"/>
          <w:spacing w:val="-2"/>
          <w:kern w:val="0"/>
        </w:rPr>
        <w:t>領域的相同、相異之處。</w:t>
      </w:r>
    </w:p>
    <w:p w:rsidR="00A731A7" w:rsidRDefault="00A731A7" w:rsidP="00A731A7">
      <w:pPr>
        <w:widowControl/>
        <w:spacing w:line="300" w:lineRule="auto"/>
        <w:ind w:left="360"/>
        <w:jc w:val="both"/>
        <w:rPr>
          <w:rFonts w:eastAsia="標楷體"/>
          <w:spacing w:val="-2"/>
          <w:kern w:val="0"/>
        </w:rPr>
      </w:pPr>
      <w:r>
        <w:rPr>
          <w:rFonts w:eastAsia="標楷體" w:hint="eastAsia"/>
          <w:spacing w:val="-2"/>
          <w:kern w:val="0"/>
        </w:rPr>
        <w:t>(b</w:t>
      </w:r>
      <w:r>
        <w:rPr>
          <w:rFonts w:eastAsia="標楷體"/>
          <w:spacing w:val="-2"/>
          <w:kern w:val="0"/>
        </w:rPr>
        <w:t xml:space="preserve">) </w:t>
      </w:r>
      <w:r>
        <w:rPr>
          <w:rFonts w:eastAsia="標楷體"/>
          <w:spacing w:val="-2"/>
          <w:kern w:val="0"/>
        </w:rPr>
        <w:t>房貸、反向房貸似乎基本精神相同，但其中存有不少差異，請整理出這兩者</w:t>
      </w:r>
      <w:r w:rsidR="008E4CB7">
        <w:rPr>
          <w:rFonts w:eastAsia="標楷體"/>
          <w:spacing w:val="-2"/>
          <w:kern w:val="0"/>
        </w:rPr>
        <w:t>的主要不同之處</w:t>
      </w:r>
      <w:r>
        <w:rPr>
          <w:rFonts w:eastAsia="標楷體"/>
          <w:spacing w:val="-2"/>
          <w:kern w:val="0"/>
        </w:rPr>
        <w:t>。</w:t>
      </w:r>
    </w:p>
    <w:p w:rsidR="00A731A7" w:rsidRPr="00677DC4" w:rsidRDefault="00A731A7" w:rsidP="00677DC4">
      <w:pPr>
        <w:pStyle w:val="a9"/>
        <w:widowControl/>
        <w:numPr>
          <w:ilvl w:val="0"/>
          <w:numId w:val="10"/>
        </w:numPr>
        <w:spacing w:line="300" w:lineRule="auto"/>
        <w:ind w:leftChars="0"/>
        <w:jc w:val="both"/>
        <w:rPr>
          <w:rFonts w:eastAsia="標楷體"/>
          <w:kern w:val="0"/>
          <w:szCs w:val="20"/>
        </w:rPr>
      </w:pPr>
      <w:proofErr w:type="gramStart"/>
      <w:r w:rsidRPr="00677DC4">
        <w:rPr>
          <w:rFonts w:eastAsia="標楷體"/>
          <w:kern w:val="0"/>
          <w:szCs w:val="20"/>
        </w:rPr>
        <w:t>加分題</w:t>
      </w:r>
      <w:proofErr w:type="gramEnd"/>
      <w:r w:rsidRPr="00677DC4">
        <w:rPr>
          <w:rFonts w:eastAsia="標楷體"/>
          <w:kern w:val="0"/>
          <w:szCs w:val="20"/>
        </w:rPr>
        <w:t>：華人較為精打細算，長年期及終身保險商品在市場上較受歡迎，但在歐美的佔有比例不高，整理歐美日各國壽險商品的年期、佔有比例；除了年期之外，臺灣壽險業還有哪些特性在其他國家較少出現。</w:t>
      </w:r>
    </w:p>
    <w:p w:rsidR="00D318D7" w:rsidRPr="002F4D5E" w:rsidRDefault="00D318D7" w:rsidP="007C3B05">
      <w:pPr>
        <w:autoSpaceDE w:val="0"/>
        <w:autoSpaceDN w:val="0"/>
        <w:adjustRightInd w:val="0"/>
        <w:snapToGrid w:val="0"/>
        <w:spacing w:line="300" w:lineRule="auto"/>
        <w:ind w:left="357"/>
        <w:jc w:val="both"/>
        <w:rPr>
          <w:rFonts w:eastAsia="標楷體"/>
        </w:rPr>
      </w:pPr>
    </w:p>
    <w:p w:rsidR="009462A3" w:rsidRDefault="00735A2C" w:rsidP="00735A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 w:hint="eastAsia"/>
        </w:rPr>
      </w:pPr>
      <w:proofErr w:type="gramStart"/>
      <w:r w:rsidRPr="00735A2C">
        <w:rPr>
          <w:rFonts w:eastAsia="標楷體" w:hint="eastAsia"/>
        </w:rPr>
        <w:t>修勻（</w:t>
      </w:r>
      <w:proofErr w:type="gramEnd"/>
      <w:r w:rsidRPr="00735A2C">
        <w:rPr>
          <w:rFonts w:eastAsia="標楷體" w:hint="eastAsia"/>
        </w:rPr>
        <w:t>Graduation</w:t>
      </w:r>
      <w:r w:rsidRPr="00735A2C">
        <w:rPr>
          <w:rFonts w:eastAsia="標楷體" w:hint="eastAsia"/>
        </w:rPr>
        <w:t>）</w:t>
      </w:r>
      <w:proofErr w:type="gramStart"/>
      <w:r w:rsidRPr="00735A2C">
        <w:rPr>
          <w:rFonts w:eastAsia="標楷體" w:hint="eastAsia"/>
        </w:rPr>
        <w:t>是編算生命</w:t>
      </w:r>
      <w:proofErr w:type="gramEnd"/>
      <w:r w:rsidRPr="00735A2C">
        <w:rPr>
          <w:rFonts w:eastAsia="標楷體" w:hint="eastAsia"/>
        </w:rPr>
        <w:t>表的</w:t>
      </w:r>
      <w:r w:rsidRPr="00735A2C">
        <w:rPr>
          <w:rFonts w:eastAsia="標楷體"/>
        </w:rPr>
        <w:t>必要步驟之一，請提供至少五個國家</w:t>
      </w:r>
      <w:r w:rsidR="005A3B14">
        <w:rPr>
          <w:rFonts w:eastAsia="標楷體"/>
        </w:rPr>
        <w:t>（包括臺灣官方、保險業）</w:t>
      </w:r>
      <w:r w:rsidRPr="00735A2C">
        <w:rPr>
          <w:rFonts w:eastAsia="標楷體"/>
        </w:rPr>
        <w:t>使用</w:t>
      </w:r>
      <w:proofErr w:type="gramStart"/>
      <w:r w:rsidRPr="00735A2C">
        <w:rPr>
          <w:rFonts w:eastAsia="標楷體"/>
        </w:rPr>
        <w:t>的修勻方法</w:t>
      </w:r>
      <w:proofErr w:type="gramEnd"/>
      <w:r w:rsidR="005A3B14">
        <w:rPr>
          <w:rFonts w:eastAsia="標楷體"/>
        </w:rPr>
        <w:t>。</w:t>
      </w:r>
    </w:p>
    <w:p w:rsidR="00880E80" w:rsidRDefault="00880E80" w:rsidP="007C3B05">
      <w:pPr>
        <w:pStyle w:val="a9"/>
        <w:autoSpaceDE w:val="0"/>
        <w:autoSpaceDN w:val="0"/>
        <w:adjustRightInd w:val="0"/>
        <w:snapToGrid w:val="0"/>
        <w:spacing w:line="300" w:lineRule="auto"/>
        <w:ind w:leftChars="0" w:left="357"/>
        <w:jc w:val="both"/>
        <w:rPr>
          <w:rFonts w:eastAsia="標楷體" w:hint="eastAsia"/>
        </w:rPr>
      </w:pPr>
    </w:p>
    <w:p w:rsidR="00880E80" w:rsidRDefault="00677DC4" w:rsidP="00735A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 w:hint="eastAsia"/>
        </w:rPr>
      </w:pPr>
      <w:r>
        <w:rPr>
          <w:rFonts w:eastAsia="標楷體" w:hint="eastAsia"/>
        </w:rPr>
        <w:t>使用</w:t>
      </w:r>
      <w:r w:rsidR="00880E80">
        <w:rPr>
          <w:rFonts w:eastAsia="標楷體" w:hint="eastAsia"/>
        </w:rPr>
        <w:t>臺灣</w:t>
      </w:r>
      <w:r>
        <w:rPr>
          <w:rFonts w:eastAsia="標楷體" w:hint="eastAsia"/>
        </w:rPr>
        <w:t>2016</w:t>
      </w:r>
      <w:r>
        <w:rPr>
          <w:rFonts w:eastAsia="標楷體" w:hint="eastAsia"/>
        </w:rPr>
        <w:t>年的人口資料，以六都為探討目標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1</w:t>
      </w:r>
      <w:r>
        <w:rPr>
          <w:rFonts w:eastAsia="標楷體" w:hint="eastAsia"/>
        </w:rPr>
        <w:t>：台北、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：新北、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：桃園、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：台中、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：台南、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：高雄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，使用</w:t>
      </w:r>
      <w:r>
        <w:rPr>
          <w:rFonts w:eastAsia="標楷體" w:hint="eastAsia"/>
        </w:rPr>
        <w:t>MWA</w:t>
      </w:r>
      <w:r>
        <w:rPr>
          <w:rFonts w:eastAsia="標楷體" w:hint="eastAsia"/>
        </w:rPr>
        <w:t>及</w:t>
      </w:r>
      <w:r>
        <w:rPr>
          <w:rFonts w:eastAsia="標楷體" w:hint="eastAsia"/>
        </w:rPr>
        <w:t>Whittaker</w:t>
      </w:r>
      <w:r>
        <w:rPr>
          <w:rFonts w:eastAsia="標楷體" w:hint="eastAsia"/>
        </w:rPr>
        <w:t>法，比較你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妳</w:t>
      </w:r>
      <w:proofErr w:type="gramStart"/>
      <w:r>
        <w:rPr>
          <w:rFonts w:eastAsia="標楷體" w:hint="eastAsia"/>
        </w:rPr>
        <w:t>的修勻結果</w:t>
      </w:r>
      <w:proofErr w:type="gramEnd"/>
      <w:r>
        <w:rPr>
          <w:rFonts w:eastAsia="標楷體" w:hint="eastAsia"/>
        </w:rPr>
        <w:t>與官方的差異。</w:t>
      </w:r>
      <w:proofErr w:type="gramStart"/>
      <w:r>
        <w:rPr>
          <w:rFonts w:eastAsia="標楷體" w:hint="eastAsia"/>
        </w:rPr>
        <w:t>（註</w:t>
      </w:r>
      <w:proofErr w:type="gramEnd"/>
      <w:r>
        <w:rPr>
          <w:rFonts w:eastAsia="標楷體" w:hint="eastAsia"/>
        </w:rPr>
        <w:t>：以學號除以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，取其餘數選擇上述城市。）</w:t>
      </w:r>
    </w:p>
    <w:p w:rsidR="00880E80" w:rsidRPr="00880E80" w:rsidRDefault="00880E80" w:rsidP="007C3B05">
      <w:pPr>
        <w:pStyle w:val="a9"/>
        <w:snapToGrid w:val="0"/>
        <w:rPr>
          <w:rFonts w:eastAsia="標楷體" w:hint="eastAsia"/>
        </w:rPr>
      </w:pPr>
      <w:bookmarkStart w:id="0" w:name="_GoBack"/>
      <w:bookmarkEnd w:id="0"/>
    </w:p>
    <w:p w:rsidR="00880E80" w:rsidRDefault="00880E80" w:rsidP="00880E80">
      <w:pPr>
        <w:autoSpaceDE w:val="0"/>
        <w:autoSpaceDN w:val="0"/>
        <w:adjustRightInd w:val="0"/>
        <w:spacing w:line="300" w:lineRule="auto"/>
        <w:jc w:val="both"/>
        <w:rPr>
          <w:rFonts w:eastAsia="標楷體"/>
        </w:rPr>
      </w:pPr>
      <w:proofErr w:type="gramStart"/>
      <w:r w:rsidRPr="00880E80">
        <w:rPr>
          <w:rFonts w:eastAsia="標楷體" w:hint="eastAsia"/>
        </w:rPr>
        <w:t>註</w:t>
      </w:r>
      <w:proofErr w:type="gramEnd"/>
      <w:r w:rsidRPr="00880E80">
        <w:rPr>
          <w:rFonts w:eastAsia="標楷體" w:hint="eastAsia"/>
        </w:rPr>
        <w:t>：分組討論</w:t>
      </w:r>
      <w:r>
        <w:rPr>
          <w:rFonts w:eastAsia="標楷體" w:hint="eastAsia"/>
        </w:rPr>
        <w:t>以</w:t>
      </w:r>
      <w:r>
        <w:rPr>
          <w:rFonts w:eastAsia="標楷體"/>
        </w:rPr>
        <w:t>長壽風險（</w:t>
      </w:r>
      <w:r>
        <w:rPr>
          <w:rFonts w:eastAsia="標楷體"/>
        </w:rPr>
        <w:t>Longevity Risk</w:t>
      </w:r>
      <w:r>
        <w:rPr>
          <w:rFonts w:eastAsia="標楷體"/>
        </w:rPr>
        <w:t>）</w:t>
      </w:r>
      <w:r>
        <w:rPr>
          <w:rFonts w:eastAsia="標楷體" w:hint="eastAsia"/>
        </w:rPr>
        <w:t>為議題，除了說明，這個風險的本質及影響層面，並搜尋相關文獻，</w:t>
      </w:r>
      <w:r>
        <w:rPr>
          <w:rFonts w:eastAsia="標楷體" w:hint="eastAsia"/>
        </w:rPr>
        <w:t>整理</w:t>
      </w:r>
      <w:r>
        <w:rPr>
          <w:rFonts w:eastAsia="標楷體"/>
        </w:rPr>
        <w:t>各國使用哪些方法面對長壽風險，</w:t>
      </w:r>
      <w:r>
        <w:rPr>
          <w:rFonts w:eastAsia="標楷體" w:hint="eastAsia"/>
        </w:rPr>
        <w:t>並討論</w:t>
      </w:r>
      <w:r>
        <w:rPr>
          <w:rFonts w:eastAsia="標楷體"/>
        </w:rPr>
        <w:t>這些方法有什麼優點、缺點（限制）？</w:t>
      </w:r>
    </w:p>
    <w:p w:rsidR="00880E80" w:rsidRPr="00880E80" w:rsidRDefault="00880E80" w:rsidP="00880E80">
      <w:pPr>
        <w:autoSpaceDE w:val="0"/>
        <w:autoSpaceDN w:val="0"/>
        <w:adjustRightInd w:val="0"/>
        <w:spacing w:line="300" w:lineRule="auto"/>
        <w:jc w:val="both"/>
        <w:rPr>
          <w:rFonts w:eastAsia="標楷體"/>
        </w:rPr>
      </w:pPr>
    </w:p>
    <w:sectPr w:rsidR="00880E80" w:rsidRPr="00880E80" w:rsidSect="00E3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35" w:rsidRDefault="00863735" w:rsidP="00E678CF">
      <w:r>
        <w:separator/>
      </w:r>
    </w:p>
  </w:endnote>
  <w:endnote w:type="continuationSeparator" w:id="0">
    <w:p w:rsidR="00863735" w:rsidRDefault="00863735" w:rsidP="00E6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35" w:rsidRDefault="00863735" w:rsidP="00E678CF">
      <w:r>
        <w:separator/>
      </w:r>
    </w:p>
  </w:footnote>
  <w:footnote w:type="continuationSeparator" w:id="0">
    <w:p w:rsidR="00863735" w:rsidRDefault="00863735" w:rsidP="00E6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3C5"/>
    <w:multiLevelType w:val="hybridMultilevel"/>
    <w:tmpl w:val="4798E1F2"/>
    <w:lvl w:ilvl="0" w:tplc="EB2EF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8E1AF6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380398"/>
    <w:multiLevelType w:val="hybridMultilevel"/>
    <w:tmpl w:val="A0FEC536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148F6C08"/>
    <w:multiLevelType w:val="hybridMultilevel"/>
    <w:tmpl w:val="09F4208C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466A78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60037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FE5854"/>
    <w:multiLevelType w:val="hybridMultilevel"/>
    <w:tmpl w:val="B4944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32864"/>
    <w:multiLevelType w:val="hybridMultilevel"/>
    <w:tmpl w:val="9F062CC8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2148B3"/>
    <w:multiLevelType w:val="hybridMultilevel"/>
    <w:tmpl w:val="C506EE0E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EFD4074"/>
    <w:multiLevelType w:val="hybridMultilevel"/>
    <w:tmpl w:val="15B05F44"/>
    <w:lvl w:ilvl="0" w:tplc="86003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FC4CF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54DC0CD2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6520228"/>
    <w:multiLevelType w:val="hybridMultilevel"/>
    <w:tmpl w:val="DF569E4C"/>
    <w:lvl w:ilvl="0" w:tplc="84867E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8E336BD"/>
    <w:multiLevelType w:val="hybridMultilevel"/>
    <w:tmpl w:val="7DC6A58A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FC1B63"/>
    <w:multiLevelType w:val="hybridMultilevel"/>
    <w:tmpl w:val="C506EE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A"/>
    <w:rsid w:val="000130C4"/>
    <w:rsid w:val="000D103A"/>
    <w:rsid w:val="000D4600"/>
    <w:rsid w:val="000D5631"/>
    <w:rsid w:val="000E05F9"/>
    <w:rsid w:val="001138A8"/>
    <w:rsid w:val="00123CFD"/>
    <w:rsid w:val="0014770D"/>
    <w:rsid w:val="00156562"/>
    <w:rsid w:val="00194A07"/>
    <w:rsid w:val="001A0389"/>
    <w:rsid w:val="001B366F"/>
    <w:rsid w:val="001D437D"/>
    <w:rsid w:val="001E6E3E"/>
    <w:rsid w:val="001F2A96"/>
    <w:rsid w:val="00217DD4"/>
    <w:rsid w:val="002233A3"/>
    <w:rsid w:val="00240F96"/>
    <w:rsid w:val="00253785"/>
    <w:rsid w:val="002704FF"/>
    <w:rsid w:val="00277518"/>
    <w:rsid w:val="002951BB"/>
    <w:rsid w:val="002F4D5E"/>
    <w:rsid w:val="00307B89"/>
    <w:rsid w:val="0032233D"/>
    <w:rsid w:val="00326C63"/>
    <w:rsid w:val="00352317"/>
    <w:rsid w:val="00365C1E"/>
    <w:rsid w:val="00374846"/>
    <w:rsid w:val="003B64A2"/>
    <w:rsid w:val="003E2549"/>
    <w:rsid w:val="00403363"/>
    <w:rsid w:val="004036D4"/>
    <w:rsid w:val="004546A6"/>
    <w:rsid w:val="00470DBB"/>
    <w:rsid w:val="004736EB"/>
    <w:rsid w:val="00483031"/>
    <w:rsid w:val="0050039C"/>
    <w:rsid w:val="00556CD0"/>
    <w:rsid w:val="00561673"/>
    <w:rsid w:val="0056193B"/>
    <w:rsid w:val="005A3B14"/>
    <w:rsid w:val="005B3A8E"/>
    <w:rsid w:val="005B5593"/>
    <w:rsid w:val="005C1CA4"/>
    <w:rsid w:val="005C2219"/>
    <w:rsid w:val="005D375D"/>
    <w:rsid w:val="005F2A72"/>
    <w:rsid w:val="005F6070"/>
    <w:rsid w:val="006070B1"/>
    <w:rsid w:val="006400F6"/>
    <w:rsid w:val="0065182E"/>
    <w:rsid w:val="006728EC"/>
    <w:rsid w:val="00677DC4"/>
    <w:rsid w:val="00726C71"/>
    <w:rsid w:val="00735A2C"/>
    <w:rsid w:val="007562CE"/>
    <w:rsid w:val="00772C6F"/>
    <w:rsid w:val="00797988"/>
    <w:rsid w:val="00797F93"/>
    <w:rsid w:val="007B1DE3"/>
    <w:rsid w:val="007C3B05"/>
    <w:rsid w:val="007C4C01"/>
    <w:rsid w:val="007D2A8F"/>
    <w:rsid w:val="007E72FC"/>
    <w:rsid w:val="007E7748"/>
    <w:rsid w:val="00845CAC"/>
    <w:rsid w:val="008633F5"/>
    <w:rsid w:val="00863735"/>
    <w:rsid w:val="008644C6"/>
    <w:rsid w:val="00880E80"/>
    <w:rsid w:val="008906D9"/>
    <w:rsid w:val="008A51C7"/>
    <w:rsid w:val="008C5C2B"/>
    <w:rsid w:val="008E4CB7"/>
    <w:rsid w:val="00912074"/>
    <w:rsid w:val="00921E55"/>
    <w:rsid w:val="009459FD"/>
    <w:rsid w:val="009462A3"/>
    <w:rsid w:val="00954D19"/>
    <w:rsid w:val="0097237C"/>
    <w:rsid w:val="009800FF"/>
    <w:rsid w:val="00983A37"/>
    <w:rsid w:val="00993B69"/>
    <w:rsid w:val="009A5045"/>
    <w:rsid w:val="009F1875"/>
    <w:rsid w:val="009F5BC3"/>
    <w:rsid w:val="00A025DF"/>
    <w:rsid w:val="00A422E2"/>
    <w:rsid w:val="00A520F6"/>
    <w:rsid w:val="00A521B7"/>
    <w:rsid w:val="00A52C6C"/>
    <w:rsid w:val="00A62A0D"/>
    <w:rsid w:val="00A65A74"/>
    <w:rsid w:val="00A731A7"/>
    <w:rsid w:val="00A75EA0"/>
    <w:rsid w:val="00A87B27"/>
    <w:rsid w:val="00AA0F00"/>
    <w:rsid w:val="00AB4636"/>
    <w:rsid w:val="00AE6E56"/>
    <w:rsid w:val="00AF1C62"/>
    <w:rsid w:val="00B0612E"/>
    <w:rsid w:val="00B11939"/>
    <w:rsid w:val="00B20BC8"/>
    <w:rsid w:val="00B25322"/>
    <w:rsid w:val="00B25B9A"/>
    <w:rsid w:val="00B31EAD"/>
    <w:rsid w:val="00B47595"/>
    <w:rsid w:val="00B8154C"/>
    <w:rsid w:val="00BA6ACD"/>
    <w:rsid w:val="00BF4868"/>
    <w:rsid w:val="00C01058"/>
    <w:rsid w:val="00C14FDE"/>
    <w:rsid w:val="00C206C9"/>
    <w:rsid w:val="00C325D8"/>
    <w:rsid w:val="00C332DA"/>
    <w:rsid w:val="00C474BE"/>
    <w:rsid w:val="00C51085"/>
    <w:rsid w:val="00C56A5D"/>
    <w:rsid w:val="00C62735"/>
    <w:rsid w:val="00C66013"/>
    <w:rsid w:val="00C77DDD"/>
    <w:rsid w:val="00C950AA"/>
    <w:rsid w:val="00CC60DE"/>
    <w:rsid w:val="00CE0443"/>
    <w:rsid w:val="00D00E36"/>
    <w:rsid w:val="00D27077"/>
    <w:rsid w:val="00D318D7"/>
    <w:rsid w:val="00D34FC5"/>
    <w:rsid w:val="00D431CF"/>
    <w:rsid w:val="00DA0D11"/>
    <w:rsid w:val="00DA27E8"/>
    <w:rsid w:val="00DD580B"/>
    <w:rsid w:val="00DD5DBF"/>
    <w:rsid w:val="00E31BF0"/>
    <w:rsid w:val="00E678CF"/>
    <w:rsid w:val="00E86DAE"/>
    <w:rsid w:val="00E931A7"/>
    <w:rsid w:val="00EC0A49"/>
    <w:rsid w:val="00EC2228"/>
    <w:rsid w:val="00EC55C9"/>
    <w:rsid w:val="00EF0A27"/>
    <w:rsid w:val="00EF3593"/>
    <w:rsid w:val="00F02553"/>
    <w:rsid w:val="00F14AF5"/>
    <w:rsid w:val="00F165F0"/>
    <w:rsid w:val="00F2051A"/>
    <w:rsid w:val="00F23AF9"/>
    <w:rsid w:val="00F33DB5"/>
    <w:rsid w:val="00F62F00"/>
    <w:rsid w:val="00F81F07"/>
    <w:rsid w:val="00F82A8A"/>
    <w:rsid w:val="00F93ACF"/>
    <w:rsid w:val="00FB5A3A"/>
    <w:rsid w:val="00FD3DA7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Company>NCCU</Company>
  <LinksUpToDate>false</LinksUpToDate>
  <CharactersWithSpaces>868</CharactersWithSpaces>
  <SharedDoc>false</SharedDoc>
  <HLinks>
    <vt:vector size="6" baseType="variant">
      <vt:variant>
        <vt:i4>5111887</vt:i4>
      </vt:variant>
      <vt:variant>
        <vt:i4>12</vt:i4>
      </vt:variant>
      <vt:variant>
        <vt:i4>0</vt:i4>
      </vt:variant>
      <vt:variant>
        <vt:i4>5</vt:i4>
      </vt:variant>
      <vt:variant>
        <vt:lpwstr>http://www.moi.org.tw/stat), 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Computing and Simulation</dc:title>
  <dc:creator>Jack Yue</dc:creator>
  <cp:lastModifiedBy>user</cp:lastModifiedBy>
  <cp:revision>4</cp:revision>
  <dcterms:created xsi:type="dcterms:W3CDTF">2017-09-30T12:54:00Z</dcterms:created>
  <dcterms:modified xsi:type="dcterms:W3CDTF">2017-09-30T13:11:00Z</dcterms:modified>
</cp:coreProperties>
</file>