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DBB" w:rsidRPr="00ED0DBB" w:rsidRDefault="00ED0DBB" w:rsidP="00E1566E">
      <w:pPr>
        <w:snapToGrid w:val="0"/>
        <w:spacing w:beforeLines="50" w:before="180" w:afterLines="50" w:after="180" w:line="360" w:lineRule="atLeast"/>
        <w:jc w:val="center"/>
        <w:rPr>
          <w:rFonts w:ascii="Times New Roman" w:eastAsia="標楷體" w:hAnsi="Times New Roman" w:cs="Times New Roman"/>
          <w:sz w:val="40"/>
          <w:szCs w:val="40"/>
        </w:rPr>
      </w:pPr>
      <w:r w:rsidRPr="00ED0DBB">
        <w:rPr>
          <w:rFonts w:ascii="Times New Roman" w:eastAsia="標楷體" w:hAnsi="標楷體" w:cs="Times New Roman"/>
          <w:sz w:val="40"/>
          <w:szCs w:val="40"/>
        </w:rPr>
        <w:t>商業資料分析與管理決策</w:t>
      </w:r>
    </w:p>
    <w:p w:rsidR="00ED0DBB" w:rsidRPr="00ED0DBB" w:rsidRDefault="00ED0DBB" w:rsidP="00E1566E">
      <w:pPr>
        <w:wordWrap w:val="0"/>
        <w:snapToGrid w:val="0"/>
        <w:spacing w:beforeLines="50" w:before="180" w:afterLines="50" w:after="180" w:line="360" w:lineRule="atLeast"/>
        <w:jc w:val="right"/>
        <w:rPr>
          <w:rFonts w:ascii="Times New Roman" w:eastAsia="標楷體" w:hAnsi="Times New Roman" w:cs="Times New Roman"/>
          <w:b/>
          <w:sz w:val="26"/>
          <w:szCs w:val="26"/>
        </w:rPr>
      </w:pPr>
      <w:r w:rsidRPr="00ED0DBB">
        <w:rPr>
          <w:rFonts w:ascii="Times New Roman" w:eastAsia="標楷體" w:hAnsi="Times New Roman" w:cs="Times New Roman"/>
          <w:b/>
          <w:sz w:val="26"/>
          <w:szCs w:val="26"/>
        </w:rPr>
        <w:t>Fall 2017</w:t>
      </w:r>
    </w:p>
    <w:p w:rsidR="00ED0DBB" w:rsidRPr="00ED0DBB" w:rsidRDefault="00ED0DBB" w:rsidP="00E1566E">
      <w:pPr>
        <w:snapToGrid w:val="0"/>
        <w:spacing w:beforeLines="50" w:before="180" w:afterLines="50" w:after="180" w:line="360" w:lineRule="atLeast"/>
        <w:jc w:val="both"/>
        <w:rPr>
          <w:rFonts w:ascii="Times New Roman" w:eastAsia="標楷體" w:hAnsi="Times New Roman" w:cs="Times New Roman"/>
          <w:sz w:val="28"/>
          <w:szCs w:val="28"/>
        </w:rPr>
      </w:pPr>
      <w:r w:rsidRPr="00ED0DBB">
        <w:rPr>
          <w:rFonts w:ascii="Times New Roman" w:eastAsia="標楷體" w:hAnsi="標楷體" w:cs="Times New Roman"/>
          <w:b/>
          <w:sz w:val="28"/>
          <w:szCs w:val="28"/>
        </w:rPr>
        <w:t>分組報告相關事宜</w:t>
      </w:r>
    </w:p>
    <w:p w:rsidR="00ED0DBB" w:rsidRPr="00ED0DBB" w:rsidRDefault="00ED0DBB" w:rsidP="00ED0DBB">
      <w:pPr>
        <w:pStyle w:val="a3"/>
        <w:numPr>
          <w:ilvl w:val="0"/>
          <w:numId w:val="1"/>
        </w:numPr>
        <w:spacing w:line="360" w:lineRule="auto"/>
        <w:jc w:val="both"/>
        <w:rPr>
          <w:rFonts w:ascii="Times New Roman" w:eastAsia="標楷體" w:hAnsi="Times New Roman" w:cs="Times New Roman"/>
          <w:sz w:val="26"/>
          <w:szCs w:val="26"/>
        </w:rPr>
      </w:pPr>
      <w:r w:rsidRPr="00ED0DBB">
        <w:rPr>
          <w:rFonts w:ascii="Times New Roman" w:eastAsia="標楷體" w:hAnsi="標楷體" w:cs="Times New Roman"/>
          <w:sz w:val="26"/>
          <w:szCs w:val="26"/>
        </w:rPr>
        <w:t>原則上每組</w:t>
      </w:r>
      <w:r w:rsidRPr="00ED0DBB">
        <w:rPr>
          <w:rFonts w:ascii="Times New Roman" w:eastAsia="標楷體" w:hAnsi="Times New Roman" w:cs="Times New Roman"/>
          <w:sz w:val="26"/>
          <w:szCs w:val="26"/>
        </w:rPr>
        <w:t>3</w:t>
      </w:r>
      <w:r w:rsidRPr="00ED0DBB">
        <w:rPr>
          <w:rFonts w:ascii="Times New Roman" w:eastAsia="標楷體" w:hAnsi="標楷體" w:cs="Times New Roman"/>
          <w:sz w:val="26"/>
          <w:szCs w:val="26"/>
        </w:rPr>
        <w:t>至</w:t>
      </w:r>
      <w:r w:rsidRPr="00ED0DBB">
        <w:rPr>
          <w:rFonts w:ascii="Times New Roman" w:eastAsia="標楷體" w:hAnsi="Times New Roman" w:cs="Times New Roman"/>
          <w:sz w:val="26"/>
          <w:szCs w:val="26"/>
        </w:rPr>
        <w:t>4</w:t>
      </w:r>
      <w:r w:rsidRPr="00ED0DBB">
        <w:rPr>
          <w:rFonts w:ascii="Times New Roman" w:eastAsia="標楷體" w:hAnsi="標楷體" w:cs="Times New Roman"/>
          <w:sz w:val="26"/>
          <w:szCs w:val="26"/>
        </w:rPr>
        <w:t>人</w:t>
      </w:r>
      <w:r w:rsidR="00990F62">
        <w:rPr>
          <w:rFonts w:ascii="Times New Roman" w:eastAsia="標楷體" w:hAnsi="標楷體" w:cs="Times New Roman" w:hint="eastAsia"/>
          <w:sz w:val="26"/>
          <w:szCs w:val="26"/>
        </w:rPr>
        <w:t>（</w:t>
      </w:r>
      <w:bookmarkStart w:id="0" w:name="_GoBack"/>
      <w:bookmarkEnd w:id="0"/>
      <w:r w:rsidR="00990F62">
        <w:rPr>
          <w:rFonts w:ascii="Times New Roman" w:eastAsia="標楷體" w:hAnsi="標楷體" w:cs="Times New Roman" w:hint="eastAsia"/>
          <w:sz w:val="26"/>
          <w:szCs w:val="26"/>
        </w:rPr>
        <w:t>不超過</w:t>
      </w:r>
      <w:r w:rsidR="00990F62">
        <w:rPr>
          <w:rFonts w:ascii="Times New Roman" w:eastAsia="標楷體" w:hAnsi="標楷體" w:cs="Times New Roman" w:hint="eastAsia"/>
          <w:sz w:val="26"/>
          <w:szCs w:val="26"/>
        </w:rPr>
        <w:t>8</w:t>
      </w:r>
      <w:r w:rsidR="00990F62">
        <w:rPr>
          <w:rFonts w:ascii="Times New Roman" w:eastAsia="標楷體" w:hAnsi="標楷體" w:cs="Times New Roman" w:hint="eastAsia"/>
          <w:sz w:val="26"/>
          <w:szCs w:val="26"/>
        </w:rPr>
        <w:t>組）</w:t>
      </w:r>
      <w:r w:rsidRPr="00ED0DBB">
        <w:rPr>
          <w:rFonts w:ascii="Times New Roman" w:eastAsia="標楷體" w:hAnsi="標楷體" w:cs="Times New Roman"/>
          <w:sz w:val="26"/>
          <w:szCs w:val="26"/>
        </w:rPr>
        <w:t>，上午先由教師講解案例，下午則由學生分組報告，各組報告時間</w:t>
      </w:r>
      <w:r w:rsidRPr="00ED0DBB">
        <w:rPr>
          <w:rFonts w:ascii="Times New Roman" w:eastAsia="標楷體" w:hAnsi="Times New Roman" w:cs="Times New Roman"/>
          <w:sz w:val="26"/>
          <w:szCs w:val="26"/>
        </w:rPr>
        <w:t>20</w:t>
      </w:r>
      <w:r w:rsidRPr="00ED0DBB">
        <w:rPr>
          <w:rFonts w:ascii="Times New Roman" w:eastAsia="標楷體" w:hAnsi="標楷體" w:cs="Times New Roman"/>
          <w:sz w:val="26"/>
          <w:szCs w:val="26"/>
        </w:rPr>
        <w:t>分鐘、</w:t>
      </w:r>
      <w:r w:rsidRPr="00ED0DBB">
        <w:rPr>
          <w:rFonts w:ascii="Times New Roman" w:eastAsia="標楷體" w:hAnsi="Times New Roman" w:cs="Times New Roman"/>
          <w:sz w:val="26"/>
          <w:szCs w:val="26"/>
        </w:rPr>
        <w:t>10</w:t>
      </w:r>
      <w:r w:rsidRPr="00ED0DBB">
        <w:rPr>
          <w:rFonts w:ascii="Times New Roman" w:eastAsia="標楷體" w:hAnsi="標楷體" w:cs="Times New Roman"/>
          <w:sz w:val="26"/>
          <w:szCs w:val="26"/>
        </w:rPr>
        <w:t>分鐘問題與討論，每位老師認養</w:t>
      </w:r>
      <w:r w:rsidRPr="00ED0DBB">
        <w:rPr>
          <w:rFonts w:ascii="Times New Roman" w:eastAsia="標楷體" w:hAnsi="Times New Roman" w:cs="Times New Roman"/>
          <w:sz w:val="26"/>
          <w:szCs w:val="26"/>
        </w:rPr>
        <w:t>2-3</w:t>
      </w:r>
      <w:r w:rsidRPr="00ED0DBB">
        <w:rPr>
          <w:rFonts w:ascii="Times New Roman" w:eastAsia="標楷體" w:hAnsi="標楷體" w:cs="Times New Roman"/>
          <w:sz w:val="26"/>
          <w:szCs w:val="26"/>
        </w:rPr>
        <w:t>組學生（可隨機指派、或是依主題由老師認養）。</w:t>
      </w:r>
    </w:p>
    <w:p w:rsidR="00ED0DBB" w:rsidRPr="00ED0DBB" w:rsidRDefault="00ED0DBB" w:rsidP="00ED0DBB">
      <w:pPr>
        <w:pStyle w:val="a3"/>
        <w:numPr>
          <w:ilvl w:val="0"/>
          <w:numId w:val="1"/>
        </w:numPr>
        <w:spacing w:line="360" w:lineRule="auto"/>
        <w:jc w:val="both"/>
        <w:rPr>
          <w:rFonts w:ascii="Times New Roman" w:eastAsia="標楷體" w:hAnsi="Times New Roman" w:cs="Times New Roman"/>
          <w:sz w:val="26"/>
          <w:szCs w:val="26"/>
        </w:rPr>
      </w:pPr>
      <w:r w:rsidRPr="00ED0DBB">
        <w:rPr>
          <w:rFonts w:ascii="Times New Roman" w:eastAsia="標楷體" w:hAnsi="標楷體" w:cs="Times New Roman"/>
          <w:sz w:val="26"/>
          <w:szCs w:val="26"/>
        </w:rPr>
        <w:t>第一天（</w:t>
      </w:r>
      <w:r w:rsidRPr="00ED0DBB">
        <w:rPr>
          <w:rFonts w:ascii="Times New Roman" w:eastAsia="標楷體" w:hAnsi="Times New Roman" w:cs="Times New Roman"/>
          <w:sz w:val="26"/>
          <w:szCs w:val="26"/>
        </w:rPr>
        <w:t>10/5</w:t>
      </w:r>
      <w:r w:rsidRPr="00ED0DBB">
        <w:rPr>
          <w:rFonts w:ascii="Times New Roman" w:eastAsia="標楷體" w:hAnsi="標楷體" w:cs="Times New Roman"/>
          <w:sz w:val="26"/>
          <w:szCs w:val="26"/>
        </w:rPr>
        <w:t>）上午上課時說明分組討論的規定，請同學在第一天課程結束前提供分組名單</w:t>
      </w:r>
      <w:r w:rsidR="008A5206">
        <w:rPr>
          <w:rFonts w:ascii="Times New Roman" w:eastAsia="標楷體" w:hAnsi="標楷體" w:cs="Times New Roman"/>
          <w:sz w:val="26"/>
          <w:szCs w:val="26"/>
        </w:rPr>
        <w:t>，</w:t>
      </w:r>
      <w:r w:rsidR="003E7A25">
        <w:rPr>
          <w:rFonts w:ascii="Times New Roman" w:eastAsia="標楷體" w:hAnsi="標楷體" w:cs="Times New Roman"/>
          <w:sz w:val="26"/>
          <w:szCs w:val="26"/>
        </w:rPr>
        <w:t>透過電子郵件</w:t>
      </w:r>
      <w:r w:rsidR="008A5206">
        <w:rPr>
          <w:rFonts w:ascii="Times New Roman" w:eastAsia="標楷體" w:hAnsi="標楷體" w:cs="Times New Roman"/>
          <w:sz w:val="26"/>
          <w:szCs w:val="26"/>
        </w:rPr>
        <w:t>通知</w:t>
      </w:r>
      <w:r w:rsidR="003E7A25">
        <w:rPr>
          <w:rFonts w:ascii="Times New Roman" w:eastAsia="標楷體" w:hAnsi="標楷體" w:cs="Times New Roman"/>
          <w:sz w:val="26"/>
          <w:szCs w:val="26"/>
        </w:rPr>
        <w:t>課程助教</w:t>
      </w:r>
      <w:r w:rsidRPr="00ED0DBB">
        <w:rPr>
          <w:rFonts w:ascii="Times New Roman" w:eastAsia="標楷體" w:hAnsi="標楷體" w:cs="Times New Roman"/>
          <w:sz w:val="26"/>
          <w:szCs w:val="26"/>
        </w:rPr>
        <w:t>；第二天（</w:t>
      </w:r>
      <w:r w:rsidRPr="00ED0DBB">
        <w:rPr>
          <w:rFonts w:ascii="Times New Roman" w:eastAsia="標楷體" w:hAnsi="Times New Roman" w:cs="Times New Roman"/>
          <w:sz w:val="26"/>
          <w:szCs w:val="26"/>
        </w:rPr>
        <w:t>10/6</w:t>
      </w:r>
      <w:r w:rsidRPr="00ED0DBB">
        <w:rPr>
          <w:rFonts w:ascii="Times New Roman" w:eastAsia="標楷體" w:hAnsi="標楷體" w:cs="Times New Roman"/>
          <w:sz w:val="26"/>
          <w:szCs w:val="26"/>
        </w:rPr>
        <w:t>）</w:t>
      </w:r>
      <w:r w:rsidR="003E7A25">
        <w:rPr>
          <w:rFonts w:ascii="Times New Roman" w:eastAsia="標楷體" w:hAnsi="標楷體" w:cs="Times New Roman"/>
          <w:sz w:val="26"/>
          <w:szCs w:val="26"/>
        </w:rPr>
        <w:t>上課結束後一</w:t>
      </w:r>
      <w:proofErr w:type="gramStart"/>
      <w:r w:rsidR="003E7A25">
        <w:rPr>
          <w:rFonts w:ascii="Times New Roman" w:eastAsia="標楷體" w:hAnsi="標楷體" w:cs="Times New Roman"/>
          <w:sz w:val="26"/>
          <w:szCs w:val="26"/>
        </w:rPr>
        <w:t>週</w:t>
      </w:r>
      <w:proofErr w:type="gramEnd"/>
      <w:r w:rsidR="003E7A25">
        <w:rPr>
          <w:rFonts w:ascii="Times New Roman" w:eastAsia="標楷體" w:hAnsi="標楷體" w:cs="Times New Roman"/>
          <w:sz w:val="26"/>
          <w:szCs w:val="26"/>
        </w:rPr>
        <w:t>內</w:t>
      </w:r>
      <w:r w:rsidRPr="00ED0DBB">
        <w:rPr>
          <w:rFonts w:ascii="Times New Roman" w:eastAsia="標楷體" w:hAnsi="標楷體" w:cs="Times New Roman"/>
          <w:sz w:val="26"/>
          <w:szCs w:val="26"/>
        </w:rPr>
        <w:t>繳交各組報告大綱，建議以電子檔案（</w:t>
      </w:r>
      <w:r w:rsidRPr="00ED0DBB">
        <w:rPr>
          <w:rFonts w:ascii="Times New Roman" w:eastAsia="標楷體" w:hAnsi="Times New Roman" w:cs="Times New Roman"/>
          <w:sz w:val="26"/>
          <w:szCs w:val="26"/>
        </w:rPr>
        <w:t>Word</w:t>
      </w:r>
      <w:r w:rsidRPr="00ED0DBB">
        <w:rPr>
          <w:rFonts w:ascii="Times New Roman" w:eastAsia="標楷體" w:hAnsi="標楷體" w:cs="Times New Roman"/>
          <w:sz w:val="26"/>
          <w:szCs w:val="26"/>
        </w:rPr>
        <w:t>格式）寄給</w:t>
      </w:r>
      <w:r w:rsidRPr="00ED0DBB">
        <w:rPr>
          <w:rFonts w:ascii="Times New Roman" w:eastAsia="標楷體" w:hAnsi="Times New Roman" w:cs="Times New Roman"/>
          <w:sz w:val="26"/>
          <w:szCs w:val="26"/>
        </w:rPr>
        <w:t>EMBA</w:t>
      </w:r>
      <w:r w:rsidRPr="00ED0DBB">
        <w:rPr>
          <w:rFonts w:ascii="Times New Roman" w:eastAsia="標楷體" w:hAnsi="標楷體" w:cs="Times New Roman"/>
          <w:sz w:val="26"/>
          <w:szCs w:val="26"/>
        </w:rPr>
        <w:t>辦公室</w:t>
      </w:r>
      <w:r w:rsidR="008A5206">
        <w:rPr>
          <w:rFonts w:ascii="Times New Roman" w:eastAsia="標楷體" w:hAnsi="標楷體" w:cs="Times New Roman"/>
          <w:sz w:val="26"/>
          <w:szCs w:val="26"/>
        </w:rPr>
        <w:t>及課程助教</w:t>
      </w:r>
      <w:r w:rsidRPr="00ED0DBB">
        <w:rPr>
          <w:rFonts w:ascii="Times New Roman" w:eastAsia="標楷體" w:hAnsi="標楷體" w:cs="Times New Roman"/>
          <w:sz w:val="26"/>
          <w:szCs w:val="26"/>
        </w:rPr>
        <w:t>，再將檔案彙整後轉發給三位老師，學生可和老師們約時間討論問題。</w:t>
      </w:r>
    </w:p>
    <w:p w:rsidR="00ED0DBB" w:rsidRPr="00ED0DBB" w:rsidRDefault="008A5206" w:rsidP="00ED0DBB">
      <w:pPr>
        <w:pStyle w:val="a3"/>
        <w:numPr>
          <w:ilvl w:val="0"/>
          <w:numId w:val="1"/>
        </w:numPr>
        <w:spacing w:line="360" w:lineRule="auto"/>
        <w:jc w:val="both"/>
        <w:rPr>
          <w:rFonts w:ascii="Times New Roman" w:eastAsia="標楷體" w:hAnsi="Times New Roman" w:cs="Times New Roman"/>
          <w:sz w:val="26"/>
          <w:szCs w:val="26"/>
        </w:rPr>
      </w:pPr>
      <w:r>
        <w:rPr>
          <w:rFonts w:ascii="Times New Roman" w:eastAsia="標楷體" w:hAnsi="標楷體" w:cs="Times New Roman"/>
          <w:sz w:val="26"/>
          <w:szCs w:val="26"/>
        </w:rPr>
        <w:t>報告大綱</w:t>
      </w:r>
      <w:r w:rsidR="00ED0DBB" w:rsidRPr="00ED0DBB">
        <w:rPr>
          <w:rFonts w:ascii="Times New Roman" w:eastAsia="標楷體" w:hAnsi="標楷體" w:cs="Times New Roman"/>
          <w:sz w:val="26"/>
          <w:szCs w:val="26"/>
        </w:rPr>
        <w:t>限定在兩頁之內，載明以下幾項資訊：</w:t>
      </w:r>
    </w:p>
    <w:p w:rsidR="00ED0DBB" w:rsidRPr="00ED0DBB" w:rsidRDefault="00ED0DBB" w:rsidP="00ED0DBB">
      <w:pPr>
        <w:spacing w:line="360" w:lineRule="auto"/>
        <w:jc w:val="both"/>
        <w:rPr>
          <w:rFonts w:ascii="Times New Roman" w:eastAsia="標楷體" w:hAnsi="Times New Roman" w:cs="Times New Roman"/>
          <w:sz w:val="26"/>
          <w:szCs w:val="26"/>
        </w:rPr>
      </w:pPr>
      <w:r w:rsidRPr="00ED0DBB">
        <w:rPr>
          <w:rFonts w:ascii="Times New Roman" w:eastAsia="標楷體" w:hAnsi="Times New Roman" w:cs="Times New Roman"/>
          <w:sz w:val="26"/>
          <w:szCs w:val="26"/>
        </w:rPr>
        <w:t></w:t>
      </w:r>
      <w:r w:rsidRPr="00ED0DBB">
        <w:rPr>
          <w:rFonts w:ascii="Times New Roman" w:eastAsia="標楷體" w:hAnsi="Times New Roman" w:cs="Times New Roman"/>
          <w:sz w:val="26"/>
          <w:szCs w:val="26"/>
        </w:rPr>
        <w:tab/>
      </w:r>
      <w:r w:rsidRPr="00ED0DBB">
        <w:rPr>
          <w:rFonts w:ascii="Times New Roman" w:eastAsia="標楷體" w:hAnsi="標楷體" w:cs="Times New Roman"/>
          <w:sz w:val="26"/>
          <w:szCs w:val="26"/>
        </w:rPr>
        <w:t>「題目」、「各組同學姓名及服務單位」</w:t>
      </w:r>
    </w:p>
    <w:p w:rsidR="00ED0DBB" w:rsidRPr="00ED0DBB" w:rsidRDefault="00ED0DBB" w:rsidP="00ED0DBB">
      <w:pPr>
        <w:spacing w:line="360" w:lineRule="auto"/>
        <w:jc w:val="both"/>
        <w:rPr>
          <w:rFonts w:ascii="Times New Roman" w:eastAsia="標楷體" w:hAnsi="Times New Roman" w:cs="Times New Roman"/>
          <w:sz w:val="26"/>
          <w:szCs w:val="26"/>
        </w:rPr>
      </w:pPr>
      <w:r w:rsidRPr="00ED0DBB">
        <w:rPr>
          <w:rFonts w:ascii="Times New Roman" w:eastAsia="標楷體" w:hAnsi="Times New Roman" w:cs="Times New Roman"/>
          <w:sz w:val="26"/>
          <w:szCs w:val="26"/>
        </w:rPr>
        <w:t></w:t>
      </w:r>
      <w:r w:rsidRPr="00ED0DBB">
        <w:rPr>
          <w:rFonts w:ascii="Times New Roman" w:eastAsia="標楷體" w:hAnsi="Times New Roman" w:cs="Times New Roman"/>
          <w:sz w:val="26"/>
          <w:szCs w:val="26"/>
        </w:rPr>
        <w:tab/>
      </w:r>
      <w:r w:rsidRPr="00ED0DBB">
        <w:rPr>
          <w:rFonts w:ascii="Times New Roman" w:eastAsia="標楷體" w:hAnsi="標楷體" w:cs="Times New Roman"/>
          <w:sz w:val="26"/>
          <w:szCs w:val="26"/>
        </w:rPr>
        <w:t>「研究動機、重要性、以及研究目的」</w:t>
      </w:r>
    </w:p>
    <w:p w:rsidR="00ED0DBB" w:rsidRPr="00ED0DBB" w:rsidRDefault="00ED0DBB" w:rsidP="00ED0DBB">
      <w:pPr>
        <w:spacing w:line="360" w:lineRule="auto"/>
        <w:jc w:val="both"/>
        <w:rPr>
          <w:rFonts w:ascii="Times New Roman" w:eastAsia="標楷體" w:hAnsi="Times New Roman" w:cs="Times New Roman"/>
          <w:sz w:val="26"/>
          <w:szCs w:val="26"/>
        </w:rPr>
      </w:pPr>
      <w:r w:rsidRPr="00ED0DBB">
        <w:rPr>
          <w:rFonts w:ascii="Times New Roman" w:eastAsia="標楷體" w:hAnsi="Times New Roman" w:cs="Times New Roman"/>
          <w:sz w:val="26"/>
          <w:szCs w:val="26"/>
        </w:rPr>
        <w:t></w:t>
      </w:r>
      <w:r w:rsidRPr="00ED0DBB">
        <w:rPr>
          <w:rFonts w:ascii="Times New Roman" w:eastAsia="標楷體" w:hAnsi="Times New Roman" w:cs="Times New Roman"/>
          <w:sz w:val="26"/>
          <w:szCs w:val="26"/>
        </w:rPr>
        <w:tab/>
      </w:r>
      <w:r w:rsidRPr="00ED0DBB">
        <w:rPr>
          <w:rFonts w:ascii="Times New Roman" w:eastAsia="標楷體" w:hAnsi="標楷體" w:cs="Times New Roman"/>
          <w:sz w:val="26"/>
          <w:szCs w:val="26"/>
        </w:rPr>
        <w:t>「參考文獻、相關研究」</w:t>
      </w:r>
    </w:p>
    <w:p w:rsidR="00ED0DBB" w:rsidRPr="00ED0DBB" w:rsidRDefault="00ED0DBB" w:rsidP="00ED0DBB">
      <w:pPr>
        <w:spacing w:line="360" w:lineRule="auto"/>
        <w:jc w:val="both"/>
        <w:rPr>
          <w:rFonts w:ascii="Times New Roman" w:eastAsia="標楷體" w:hAnsi="Times New Roman" w:cs="Times New Roman"/>
          <w:sz w:val="26"/>
          <w:szCs w:val="26"/>
        </w:rPr>
      </w:pPr>
      <w:r w:rsidRPr="00ED0DBB">
        <w:rPr>
          <w:rFonts w:ascii="Times New Roman" w:eastAsia="標楷體" w:hAnsi="Times New Roman" w:cs="Times New Roman"/>
          <w:sz w:val="26"/>
          <w:szCs w:val="26"/>
        </w:rPr>
        <w:t></w:t>
      </w:r>
      <w:r w:rsidRPr="00ED0DBB">
        <w:rPr>
          <w:rFonts w:ascii="Times New Roman" w:eastAsia="標楷體" w:hAnsi="Times New Roman" w:cs="Times New Roman"/>
          <w:sz w:val="26"/>
          <w:szCs w:val="26"/>
        </w:rPr>
        <w:tab/>
      </w:r>
      <w:r w:rsidRPr="00ED0DBB">
        <w:rPr>
          <w:rFonts w:ascii="Times New Roman" w:eastAsia="標楷體" w:hAnsi="標楷體" w:cs="Times New Roman"/>
          <w:sz w:val="26"/>
          <w:szCs w:val="26"/>
        </w:rPr>
        <w:t>「資料來源及介紹（包括資料蒐集方法）」</w:t>
      </w:r>
    </w:p>
    <w:p w:rsidR="00ED0DBB" w:rsidRPr="00ED0DBB" w:rsidRDefault="00ED0DBB" w:rsidP="00ED0DBB">
      <w:pPr>
        <w:spacing w:line="360" w:lineRule="auto"/>
        <w:jc w:val="both"/>
        <w:rPr>
          <w:rFonts w:ascii="Times New Roman" w:eastAsia="標楷體" w:hAnsi="Times New Roman" w:cs="Times New Roman"/>
          <w:sz w:val="26"/>
          <w:szCs w:val="26"/>
        </w:rPr>
      </w:pPr>
      <w:r w:rsidRPr="00ED0DBB">
        <w:rPr>
          <w:rFonts w:ascii="Times New Roman" w:eastAsia="標楷體" w:hAnsi="Times New Roman" w:cs="Times New Roman"/>
          <w:sz w:val="26"/>
          <w:szCs w:val="26"/>
        </w:rPr>
        <w:t></w:t>
      </w:r>
      <w:r w:rsidRPr="00ED0DBB">
        <w:rPr>
          <w:rFonts w:ascii="Times New Roman" w:eastAsia="標楷體" w:hAnsi="Times New Roman" w:cs="Times New Roman"/>
          <w:sz w:val="26"/>
          <w:szCs w:val="26"/>
        </w:rPr>
        <w:tab/>
      </w:r>
      <w:r w:rsidRPr="00ED0DBB">
        <w:rPr>
          <w:rFonts w:ascii="Times New Roman" w:eastAsia="標楷體" w:hAnsi="標楷體" w:cs="Times New Roman"/>
          <w:sz w:val="26"/>
          <w:szCs w:val="26"/>
        </w:rPr>
        <w:t>「研究方法、可能遭遇的困難」</w:t>
      </w:r>
    </w:p>
    <w:p w:rsidR="00ED0DBB" w:rsidRPr="00ED0DBB" w:rsidRDefault="00ED0DBB" w:rsidP="00ED0DBB">
      <w:pPr>
        <w:spacing w:line="360" w:lineRule="auto"/>
        <w:jc w:val="both"/>
        <w:rPr>
          <w:rFonts w:ascii="Times New Roman" w:eastAsia="標楷體" w:hAnsi="Times New Roman" w:cs="Times New Roman"/>
          <w:sz w:val="26"/>
          <w:szCs w:val="26"/>
        </w:rPr>
      </w:pPr>
      <w:r w:rsidRPr="00ED0DBB">
        <w:rPr>
          <w:rFonts w:ascii="Times New Roman" w:eastAsia="標楷體" w:hAnsi="Times New Roman" w:cs="Times New Roman"/>
          <w:sz w:val="26"/>
          <w:szCs w:val="26"/>
        </w:rPr>
        <w:t></w:t>
      </w:r>
      <w:r w:rsidRPr="00ED0DBB">
        <w:rPr>
          <w:rFonts w:ascii="Times New Roman" w:eastAsia="標楷體" w:hAnsi="Times New Roman" w:cs="Times New Roman"/>
          <w:sz w:val="26"/>
          <w:szCs w:val="26"/>
        </w:rPr>
        <w:tab/>
      </w:r>
      <w:r w:rsidRPr="00ED0DBB">
        <w:rPr>
          <w:rFonts w:ascii="Times New Roman" w:eastAsia="標楷體" w:hAnsi="標楷體" w:cs="Times New Roman"/>
          <w:sz w:val="26"/>
          <w:szCs w:val="26"/>
        </w:rPr>
        <w:t>「預期成果及貢獻」</w:t>
      </w:r>
    </w:p>
    <w:p w:rsidR="00ED0DBB" w:rsidRPr="00ED0DBB" w:rsidRDefault="00ED0DBB" w:rsidP="00E1566E">
      <w:pPr>
        <w:snapToGrid w:val="0"/>
        <w:spacing w:beforeLines="50" w:before="180" w:afterLines="50" w:after="180" w:line="360" w:lineRule="atLeast"/>
        <w:jc w:val="both"/>
        <w:rPr>
          <w:rFonts w:ascii="Times New Roman" w:eastAsia="標楷體" w:hAnsi="Times New Roman" w:cs="Times New Roman"/>
        </w:rPr>
      </w:pPr>
    </w:p>
    <w:p w:rsidR="00ED0DBB" w:rsidRPr="00ED0DBB" w:rsidRDefault="00ED0DBB" w:rsidP="00ED0DBB">
      <w:pPr>
        <w:widowControl/>
        <w:rPr>
          <w:rFonts w:ascii="Times New Roman" w:eastAsia="標楷體" w:hAnsi="Times New Roman" w:cs="Times New Roman"/>
          <w:b/>
        </w:rPr>
      </w:pPr>
      <w:r w:rsidRPr="00ED0DBB">
        <w:rPr>
          <w:rFonts w:ascii="Times New Roman" w:eastAsia="標楷體" w:hAnsi="Times New Roman" w:cs="Times New Roman"/>
          <w:b/>
        </w:rPr>
        <w:br w:type="page"/>
      </w:r>
    </w:p>
    <w:p w:rsidR="00ED0DBB" w:rsidRPr="00ED0DBB" w:rsidRDefault="00ED0DBB" w:rsidP="00E1566E">
      <w:pPr>
        <w:snapToGrid w:val="0"/>
        <w:spacing w:beforeLines="50" w:before="180" w:afterLines="50" w:after="180" w:line="360" w:lineRule="atLeast"/>
        <w:jc w:val="both"/>
        <w:rPr>
          <w:rFonts w:ascii="Times New Roman" w:eastAsia="標楷體" w:hAnsi="Times New Roman" w:cs="Times New Roman"/>
          <w:b/>
          <w:sz w:val="28"/>
          <w:szCs w:val="28"/>
        </w:rPr>
      </w:pPr>
      <w:r w:rsidRPr="00ED0DBB">
        <w:rPr>
          <w:rFonts w:ascii="Times New Roman" w:eastAsia="標楷體" w:hAnsi="標楷體" w:cs="Times New Roman"/>
          <w:b/>
          <w:sz w:val="28"/>
          <w:szCs w:val="28"/>
        </w:rPr>
        <w:lastRenderedPageBreak/>
        <w:t>報告大綱的範例：</w:t>
      </w:r>
    </w:p>
    <w:p w:rsidR="00ED0DBB" w:rsidRPr="00ED0DBB" w:rsidRDefault="00ED0DBB" w:rsidP="00ED0DBB">
      <w:pPr>
        <w:spacing w:line="360" w:lineRule="auto"/>
        <w:jc w:val="both"/>
        <w:rPr>
          <w:rFonts w:ascii="Times New Roman" w:eastAsia="標楷體" w:hAnsi="Times New Roman" w:cs="Times New Roman"/>
          <w:sz w:val="28"/>
          <w:szCs w:val="28"/>
        </w:rPr>
      </w:pPr>
      <w:r w:rsidRPr="00ED0DBB">
        <w:rPr>
          <w:rFonts w:ascii="Times New Roman" w:eastAsia="標楷體" w:hAnsi="標楷體" w:cs="Times New Roman"/>
          <w:sz w:val="28"/>
          <w:szCs w:val="28"/>
        </w:rPr>
        <w:t>題目：</w:t>
      </w:r>
      <w:r w:rsidRPr="00ED0DBB">
        <w:rPr>
          <w:rFonts w:ascii="Times New Roman" w:eastAsia="標楷體" w:hAnsi="Times New Roman" w:cs="Times New Roman"/>
          <w:sz w:val="28"/>
          <w:szCs w:val="28"/>
        </w:rPr>
        <w:t>921</w:t>
      </w:r>
      <w:r w:rsidRPr="00ED0DBB">
        <w:rPr>
          <w:rFonts w:ascii="Times New Roman" w:eastAsia="標楷體" w:hAnsi="標楷體" w:cs="Times New Roman"/>
          <w:sz w:val="28"/>
          <w:szCs w:val="28"/>
        </w:rPr>
        <w:t>震災對中老年人死亡風險的影響</w:t>
      </w:r>
    </w:p>
    <w:p w:rsidR="00ED0DBB" w:rsidRPr="00ED0DBB" w:rsidRDefault="00ED0DBB" w:rsidP="00ED0DBB">
      <w:pPr>
        <w:spacing w:line="360" w:lineRule="auto"/>
        <w:rPr>
          <w:rFonts w:ascii="Times New Roman" w:eastAsia="標楷體" w:hAnsi="Times New Roman" w:cs="Times New Roman"/>
          <w:sz w:val="28"/>
          <w:szCs w:val="28"/>
        </w:rPr>
      </w:pPr>
      <w:r w:rsidRPr="00ED0DBB">
        <w:rPr>
          <w:rFonts w:ascii="Times New Roman" w:eastAsia="標楷體" w:hAnsi="標楷體" w:cs="Times New Roman"/>
          <w:sz w:val="28"/>
          <w:szCs w:val="28"/>
        </w:rPr>
        <w:t>摘要：</w:t>
      </w:r>
    </w:p>
    <w:p w:rsidR="00ED0DBB" w:rsidRPr="00ED0DBB" w:rsidRDefault="00ED0DBB" w:rsidP="00ED0DBB">
      <w:pPr>
        <w:spacing w:line="360" w:lineRule="auto"/>
        <w:ind w:firstLine="480"/>
        <w:jc w:val="both"/>
        <w:rPr>
          <w:rFonts w:ascii="Times New Roman" w:eastAsia="標楷體" w:hAnsi="Times New Roman" w:cs="Times New Roman"/>
          <w:sz w:val="26"/>
          <w:szCs w:val="26"/>
        </w:rPr>
      </w:pPr>
      <w:r w:rsidRPr="00ED0DBB">
        <w:rPr>
          <w:rFonts w:ascii="Times New Roman" w:eastAsia="標楷體" w:hAnsi="標楷體" w:cs="Times New Roman"/>
          <w:sz w:val="26"/>
          <w:szCs w:val="26"/>
        </w:rPr>
        <w:t>地震及颱風等天災在非常短時間內，對生命與健康造成全面性的傷害與破壞，即便是倖存者也必須面對災害造成的身心苦痛，甚至增加了死亡風險。其中，中高齡人口由於生理機能退化，更容易因為天災及氣候環境變化</w:t>
      </w:r>
      <w:proofErr w:type="gramStart"/>
      <w:r w:rsidRPr="00ED0DBB">
        <w:rPr>
          <w:rFonts w:ascii="Times New Roman" w:eastAsia="標楷體" w:hAnsi="標楷體" w:cs="Times New Roman"/>
          <w:sz w:val="26"/>
          <w:szCs w:val="26"/>
        </w:rPr>
        <w:t>罹</w:t>
      </w:r>
      <w:proofErr w:type="gramEnd"/>
      <w:r w:rsidRPr="00ED0DBB">
        <w:rPr>
          <w:rFonts w:ascii="Times New Roman" w:eastAsia="標楷體" w:hAnsi="標楷體" w:cs="Times New Roman"/>
          <w:sz w:val="26"/>
          <w:szCs w:val="26"/>
        </w:rPr>
        <w:t>患疾病，後續醫療救護需求往往高於其他年齡層。過去文獻大多論及重大天災對死亡率立即的衝擊，較少探討後續災民死亡風險的變化，亦即災民死亡風險回復至與震災前的水準的恢復</w:t>
      </w:r>
      <w:proofErr w:type="gramStart"/>
      <w:r w:rsidRPr="00ED0DBB">
        <w:rPr>
          <w:rFonts w:ascii="Times New Roman" w:eastAsia="標楷體" w:hAnsi="標楷體" w:cs="Times New Roman"/>
          <w:sz w:val="26"/>
          <w:szCs w:val="26"/>
        </w:rPr>
        <w:t>期間，</w:t>
      </w:r>
      <w:proofErr w:type="gramEnd"/>
      <w:r w:rsidRPr="00ED0DBB">
        <w:rPr>
          <w:rFonts w:ascii="Times New Roman" w:eastAsia="標楷體" w:hAnsi="標楷體" w:cs="Times New Roman"/>
          <w:sz w:val="26"/>
          <w:szCs w:val="26"/>
        </w:rPr>
        <w:t>本文利用全民健保資料庫分析</w:t>
      </w:r>
      <w:r w:rsidRPr="00ED0DBB">
        <w:rPr>
          <w:rFonts w:ascii="Times New Roman" w:eastAsia="標楷體" w:hAnsi="Times New Roman" w:cs="Times New Roman"/>
          <w:sz w:val="26"/>
          <w:szCs w:val="26"/>
        </w:rPr>
        <w:t>921</w:t>
      </w:r>
      <w:r w:rsidRPr="00ED0DBB">
        <w:rPr>
          <w:rFonts w:ascii="Times New Roman" w:eastAsia="標楷體" w:hAnsi="標楷體" w:cs="Times New Roman"/>
          <w:sz w:val="26"/>
          <w:szCs w:val="26"/>
        </w:rPr>
        <w:t>地震所屬的南投縣和台中縣，與相鄰非災區彰化縣比較，計算震災前後的死亡風險的變化，衡量震災對災民的影響。</w:t>
      </w:r>
    </w:p>
    <w:p w:rsidR="00ED0DBB" w:rsidRPr="00ED0DBB" w:rsidRDefault="00ED0DBB" w:rsidP="00ED0DBB">
      <w:pPr>
        <w:spacing w:line="360" w:lineRule="auto"/>
        <w:ind w:firstLine="480"/>
        <w:jc w:val="both"/>
        <w:rPr>
          <w:rFonts w:ascii="Times New Roman" w:eastAsia="標楷體" w:hAnsi="Times New Roman" w:cs="Times New Roman"/>
          <w:sz w:val="26"/>
          <w:szCs w:val="26"/>
        </w:rPr>
      </w:pPr>
      <w:r w:rsidRPr="00ED0DBB">
        <w:rPr>
          <w:rFonts w:ascii="Times New Roman" w:eastAsia="標楷體" w:hAnsi="標楷體" w:cs="Times New Roman"/>
          <w:sz w:val="26"/>
          <w:szCs w:val="26"/>
        </w:rPr>
        <w:t>本文使用的健保資料屬於大數據層級，需結合資料庫軟體及統計分析軟體；另外，健保資料來自於不同醫療院所，資料</w:t>
      </w:r>
      <w:proofErr w:type="gramStart"/>
      <w:r w:rsidRPr="00ED0DBB">
        <w:rPr>
          <w:rFonts w:ascii="Times New Roman" w:eastAsia="標楷體" w:hAnsi="標楷體" w:cs="Times New Roman"/>
          <w:sz w:val="26"/>
          <w:szCs w:val="26"/>
        </w:rPr>
        <w:t>偵</w:t>
      </w:r>
      <w:proofErr w:type="gramEnd"/>
      <w:r w:rsidRPr="00ED0DBB">
        <w:rPr>
          <w:rFonts w:ascii="Times New Roman" w:eastAsia="標楷體" w:hAnsi="標楷體" w:cs="Times New Roman"/>
          <w:sz w:val="26"/>
          <w:szCs w:val="26"/>
        </w:rPr>
        <w:t>錯及基本資料分析這兩</w:t>
      </w:r>
      <w:proofErr w:type="gramStart"/>
      <w:r w:rsidRPr="00ED0DBB">
        <w:rPr>
          <w:rFonts w:ascii="Times New Roman" w:eastAsia="標楷體" w:hAnsi="標楷體" w:cs="Times New Roman"/>
          <w:sz w:val="26"/>
          <w:szCs w:val="26"/>
        </w:rPr>
        <w:t>個</w:t>
      </w:r>
      <w:proofErr w:type="gramEnd"/>
      <w:r w:rsidRPr="00ED0DBB">
        <w:rPr>
          <w:rFonts w:ascii="Times New Roman" w:eastAsia="標楷體" w:hAnsi="標楷體" w:cs="Times New Roman"/>
          <w:sz w:val="26"/>
          <w:szCs w:val="26"/>
        </w:rPr>
        <w:t>步驟非常重要。至於死亡風險的計算，分成幾個主要死因比較災區、非災區的差異，除了估計這兩</w:t>
      </w:r>
      <w:proofErr w:type="gramStart"/>
      <w:r w:rsidRPr="00ED0DBB">
        <w:rPr>
          <w:rFonts w:ascii="Times New Roman" w:eastAsia="標楷體" w:hAnsi="標楷體" w:cs="Times New Roman"/>
          <w:sz w:val="26"/>
          <w:szCs w:val="26"/>
        </w:rPr>
        <w:t>個</w:t>
      </w:r>
      <w:proofErr w:type="gramEnd"/>
      <w:r w:rsidRPr="00ED0DBB">
        <w:rPr>
          <w:rFonts w:ascii="Times New Roman" w:eastAsia="標楷體" w:hAnsi="標楷體" w:cs="Times New Roman"/>
          <w:sz w:val="26"/>
          <w:szCs w:val="26"/>
        </w:rPr>
        <w:t>地區的死亡率外，也使用電腦模擬檢定差異是否顯著。研究發現：震災在短時間內造成災區嚴重的死傷，災區民眾的死亡風險顯著高過非災區民眾</w:t>
      </w:r>
      <w:r w:rsidRPr="00ED0DBB">
        <w:rPr>
          <w:rFonts w:ascii="Times New Roman" w:eastAsia="標楷體" w:hAnsi="Times New Roman" w:cs="Times New Roman"/>
          <w:sz w:val="26"/>
          <w:szCs w:val="26"/>
        </w:rPr>
        <w:t>1.273</w:t>
      </w:r>
      <w:r w:rsidRPr="00ED0DBB">
        <w:rPr>
          <w:rFonts w:ascii="Times New Roman" w:eastAsia="標楷體" w:hAnsi="標楷體" w:cs="Times New Roman"/>
          <w:sz w:val="26"/>
          <w:szCs w:val="26"/>
        </w:rPr>
        <w:t>倍，且存活災民在震災後一段時間的死亡風險仍顯著高過非災民</w:t>
      </w:r>
      <w:r w:rsidRPr="00ED0DBB">
        <w:rPr>
          <w:rFonts w:ascii="Times New Roman" w:eastAsia="標楷體" w:hAnsi="Times New Roman" w:cs="Times New Roman"/>
          <w:sz w:val="26"/>
          <w:szCs w:val="26"/>
        </w:rPr>
        <w:t>1.114</w:t>
      </w:r>
      <w:r w:rsidRPr="00ED0DBB">
        <w:rPr>
          <w:rFonts w:ascii="Times New Roman" w:eastAsia="標楷體" w:hAnsi="標楷體" w:cs="Times New Roman"/>
          <w:sz w:val="26"/>
          <w:szCs w:val="26"/>
        </w:rPr>
        <w:t>倍（民國</w:t>
      </w:r>
      <w:r w:rsidRPr="00ED0DBB">
        <w:rPr>
          <w:rFonts w:ascii="Times New Roman" w:eastAsia="標楷體" w:hAnsi="Times New Roman" w:cs="Times New Roman"/>
          <w:sz w:val="26"/>
          <w:szCs w:val="26"/>
        </w:rPr>
        <w:t>89</w:t>
      </w:r>
      <w:r w:rsidRPr="00ED0DBB">
        <w:rPr>
          <w:rFonts w:ascii="Times New Roman" w:eastAsia="標楷體" w:hAnsi="標楷體" w:cs="Times New Roman"/>
          <w:sz w:val="26"/>
          <w:szCs w:val="26"/>
        </w:rPr>
        <w:t>年第三季），顯示震災對災民的影響效果不會在短時間內消失，而是會持續一段時間。</w:t>
      </w:r>
      <w:proofErr w:type="gramStart"/>
      <w:r w:rsidRPr="00ED0DBB">
        <w:rPr>
          <w:rFonts w:ascii="Times New Roman" w:eastAsia="標楷體" w:hAnsi="標楷體" w:cs="Times New Roman"/>
          <w:sz w:val="26"/>
          <w:szCs w:val="26"/>
        </w:rPr>
        <w:t>此外，</w:t>
      </w:r>
      <w:proofErr w:type="gramEnd"/>
      <w:r w:rsidRPr="00ED0DBB">
        <w:rPr>
          <w:rFonts w:ascii="Times New Roman" w:eastAsia="標楷體" w:hAnsi="標楷體" w:cs="Times New Roman"/>
          <w:sz w:val="26"/>
          <w:szCs w:val="26"/>
        </w:rPr>
        <w:t>震災增加心血管疾病與消化系統疾病之中老年人的死亡風險，</w:t>
      </w:r>
      <w:proofErr w:type="gramStart"/>
      <w:r w:rsidRPr="00ED0DBB">
        <w:rPr>
          <w:rFonts w:ascii="Times New Roman" w:eastAsia="標楷體" w:hAnsi="標楷體" w:cs="Times New Roman"/>
          <w:sz w:val="26"/>
          <w:szCs w:val="26"/>
        </w:rPr>
        <w:t>罹</w:t>
      </w:r>
      <w:proofErr w:type="gramEnd"/>
      <w:r w:rsidRPr="00ED0DBB">
        <w:rPr>
          <w:rFonts w:ascii="Times New Roman" w:eastAsia="標楷體" w:hAnsi="標楷體" w:cs="Times New Roman"/>
          <w:sz w:val="26"/>
          <w:szCs w:val="26"/>
        </w:rPr>
        <w:t>患心血管疾病之災民的死亡風險顯著高過非災區</w:t>
      </w:r>
      <w:proofErr w:type="gramStart"/>
      <w:r w:rsidRPr="00ED0DBB">
        <w:rPr>
          <w:rFonts w:ascii="Times New Roman" w:eastAsia="標楷體" w:hAnsi="標楷體" w:cs="Times New Roman"/>
          <w:sz w:val="26"/>
          <w:szCs w:val="26"/>
        </w:rPr>
        <w:t>罹</w:t>
      </w:r>
      <w:proofErr w:type="gramEnd"/>
      <w:r w:rsidRPr="00ED0DBB">
        <w:rPr>
          <w:rFonts w:ascii="Times New Roman" w:eastAsia="標楷體" w:hAnsi="標楷體" w:cs="Times New Roman"/>
          <w:sz w:val="26"/>
          <w:szCs w:val="26"/>
        </w:rPr>
        <w:t>患心血管疾病者的</w:t>
      </w:r>
      <w:r w:rsidRPr="00ED0DBB">
        <w:rPr>
          <w:rFonts w:ascii="Times New Roman" w:eastAsia="標楷體" w:hAnsi="Times New Roman" w:cs="Times New Roman"/>
          <w:sz w:val="26"/>
          <w:szCs w:val="26"/>
        </w:rPr>
        <w:t>1.156</w:t>
      </w:r>
      <w:r w:rsidRPr="00ED0DBB">
        <w:rPr>
          <w:rFonts w:ascii="Times New Roman" w:eastAsia="標楷體" w:hAnsi="標楷體" w:cs="Times New Roman"/>
          <w:sz w:val="26"/>
          <w:szCs w:val="26"/>
        </w:rPr>
        <w:t>倍，</w:t>
      </w:r>
      <w:proofErr w:type="gramStart"/>
      <w:r w:rsidRPr="00ED0DBB">
        <w:rPr>
          <w:rFonts w:ascii="Times New Roman" w:eastAsia="標楷體" w:hAnsi="標楷體" w:cs="Times New Roman"/>
          <w:sz w:val="26"/>
          <w:szCs w:val="26"/>
        </w:rPr>
        <w:t>罹</w:t>
      </w:r>
      <w:proofErr w:type="gramEnd"/>
      <w:r w:rsidRPr="00ED0DBB">
        <w:rPr>
          <w:rFonts w:ascii="Times New Roman" w:eastAsia="標楷體" w:hAnsi="標楷體" w:cs="Times New Roman"/>
          <w:sz w:val="26"/>
          <w:szCs w:val="26"/>
        </w:rPr>
        <w:t>患消化系統疾病之災民的死亡風險顯著高過非災區</w:t>
      </w:r>
      <w:proofErr w:type="gramStart"/>
      <w:r w:rsidRPr="00ED0DBB">
        <w:rPr>
          <w:rFonts w:ascii="Times New Roman" w:eastAsia="標楷體" w:hAnsi="標楷體" w:cs="Times New Roman"/>
          <w:sz w:val="26"/>
          <w:szCs w:val="26"/>
        </w:rPr>
        <w:t>罹</w:t>
      </w:r>
      <w:proofErr w:type="gramEnd"/>
      <w:r w:rsidRPr="00ED0DBB">
        <w:rPr>
          <w:rFonts w:ascii="Times New Roman" w:eastAsia="標楷體" w:hAnsi="標楷體" w:cs="Times New Roman"/>
          <w:sz w:val="26"/>
          <w:szCs w:val="26"/>
        </w:rPr>
        <w:t>患消化系統疾病者的</w:t>
      </w:r>
      <w:r w:rsidRPr="00ED0DBB">
        <w:rPr>
          <w:rFonts w:ascii="Times New Roman" w:eastAsia="標楷體" w:hAnsi="Times New Roman" w:cs="Times New Roman"/>
          <w:sz w:val="26"/>
          <w:szCs w:val="26"/>
        </w:rPr>
        <w:t>1.265</w:t>
      </w:r>
      <w:r w:rsidRPr="00ED0DBB">
        <w:rPr>
          <w:rFonts w:ascii="Times New Roman" w:eastAsia="標楷體" w:hAnsi="標楷體" w:cs="Times New Roman"/>
          <w:sz w:val="26"/>
          <w:szCs w:val="26"/>
        </w:rPr>
        <w:t>倍。本研究對中老年人死亡風險的估計結果，可提供政府評估未來中高齡人口的緊急醫療及長期的照護需求之政策參考依據。</w:t>
      </w:r>
    </w:p>
    <w:p w:rsidR="00ED0DBB" w:rsidRPr="00ED0DBB" w:rsidRDefault="00ED0DBB" w:rsidP="00AC1CC9">
      <w:pPr>
        <w:snapToGrid w:val="0"/>
        <w:spacing w:beforeLines="50" w:before="180" w:afterLines="50" w:after="180" w:line="360" w:lineRule="atLeast"/>
        <w:jc w:val="both"/>
        <w:rPr>
          <w:rFonts w:ascii="Times New Roman" w:eastAsia="標楷體" w:hAnsi="Times New Roman" w:cs="Times New Roman"/>
        </w:rPr>
      </w:pPr>
    </w:p>
    <w:sectPr w:rsidR="00ED0DBB" w:rsidRPr="00ED0DBB" w:rsidSect="00A3681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B1FAA"/>
    <w:multiLevelType w:val="hybridMultilevel"/>
    <w:tmpl w:val="F9501E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D0DBB"/>
    <w:rsid w:val="000643C2"/>
    <w:rsid w:val="003E7A25"/>
    <w:rsid w:val="008A5206"/>
    <w:rsid w:val="00990F62"/>
    <w:rsid w:val="00A36817"/>
    <w:rsid w:val="00A97CB2"/>
    <w:rsid w:val="00AC1CC9"/>
    <w:rsid w:val="00E1566E"/>
    <w:rsid w:val="00ED0D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DBB"/>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0DBB"/>
    <w:pPr>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163</Words>
  <Characters>934</Characters>
  <Application>Microsoft Office Word</Application>
  <DocSecurity>0</DocSecurity>
  <Lines>7</Lines>
  <Paragraphs>2</Paragraphs>
  <ScaleCrop>false</ScaleCrop>
  <Company>HP</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csyue</dc:creator>
  <cp:lastModifiedBy>user</cp:lastModifiedBy>
  <cp:revision>5</cp:revision>
  <dcterms:created xsi:type="dcterms:W3CDTF">2017-10-04T15:14:00Z</dcterms:created>
  <dcterms:modified xsi:type="dcterms:W3CDTF">2017-10-05T05:32:00Z</dcterms:modified>
</cp:coreProperties>
</file>